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precizēt Risinājuma aprakstu pie Likuma 87.panta par gada pārskata apstiprinātāju (akcionāru vai dalībnieku sapulce vai biedru kopsapulce) atbilstoši komersanta veidam.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Problēmas aprakstā par Likuma 87.pantu rosinām precizēt pēdējo rindkopu, </w:t>
            </w:r>
            <w:r w:rsidR="00000000" w:rsidRPr="00000000" w:rsidDel="00000000">
              <w:rPr>
                <w:rtl w:val="0"/>
              </w:rPr>
              <w:t xml:space="preserve">jo gada pārskata sagatavošana un pārbaude jau ir noteikta spēkā esošajā likuma redakcijā. Ar šiem grozījumiem tikai papildina attiecībā uz ilgtspējas ziņojumu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"Pašreizējās situācijas" aprakstā minēts .. Latvijas Bankas normatīvie noteikumi. Rosinām svītrot vārdu "normatīvie", jo Latvijas Banka izdot noteikumus, nevis normatīvos noteikumus.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6.3. Sabiedrības līdzdalības rezultāti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svītrot vārdus "attiecībā uz revīzijas komitejas uzdevumiem ilgtspējas jomā", jo darba grupa izvērtēja visas jomas, ne tikai šo vienīgo.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09.02.2024.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09.02.2024.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