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24-TA-2008: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īsteno atbalsta pasākumus nozaru vajadzībās balstītai darba devēju darbinieku profesionālajai pilnveidei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īsteno atbalsta pasākumus nozaru vajadzībās balstītai darba devēju darbinieku profesionālajai pilnveidei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Atbalstam pieeju, ka plānotos atbalsta pasākumus darba devēju atbalstam savu darbinieku mācībām ir jāsaskaņo ar Cilvēkkapitāla attīstības padomi vai tās Komisiju.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rada bažas instrukcijas tvērums, kas esošajā plānošanas periodā ir sasaistīts tikai ar rīcības plānā "Cilvēkkapitāla attīstības stratēģija 2024.-2027.gadam" (turpmāk – Stratēģija) ietvertajiem atbalsta pasākumiem (saskaņā ar Anotācijā sniegto skaidrojumu par Instrukcijas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Stratēģijā patlaban ir iekļauti </w:t>
            </w:r>
            <w:r w:rsidR="00000000" w:rsidRPr="00000000" w:rsidDel="00000000">
              <w:rPr>
                <w:u w:val="single"/>
                <w:rtl w:val="0"/>
              </w:rPr>
              <w:t xml:space="preserve">tikai divi</w:t>
            </w:r>
            <w:r w:rsidR="00000000" w:rsidRPr="00000000" w:rsidDel="00000000">
              <w:rPr>
                <w:rtl w:val="0"/>
              </w:rPr>
              <w:t xml:space="preserve"> atbalsta pasākumi darba devējiem savu darbinieku mācībām, kas tieši atbilst Instrukcijas tvērumam, t.i. 4.2.4.1. pasākuma "Atbalsts nozaru vajadzībās balstītai pieaugušo izglītībai” 1. kārta un 2.3.1.2.i. investīcija "Uzņēmumu digitālo prasmju attīstība". Turklāt abu minēto atbalsta pasākumu īstenošanas MK noteikumi jau ir apstiprināti.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attiecīgi papildināt vismaz anotāciju (bet, ja ir nepieciešams -- arī Instrukcijas projekta regulējumu) par Instrukcijas turpmāko piemērošanu, tostarp attiecībā un nākamo plānošanas periodu, uz jau apstiprināto atbalsta pasākumu monitoringu, un uz atbalsta pasākumiem, kas nav saistīti tikai ar ES Kohēzijas fondu 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saglabājam viedokli, ka MK noteikumu projekta izstrāde Instrukcijas vietā būtu lietderīgāka un radītu tiesības un pienākumus plašākam lokam nekā Instrukcijas regulējums, kura spēks ir saistošs tikai valsts pārvaldes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30.10.2024.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30.10.2024.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Atzinumi_24-TA-2008.docx</dc:title>
</cp:coreProperties>
</file>

<file path=docProps/custom.xml><?xml version="1.0" encoding="utf-8"?>
<Properties xmlns="http://schemas.openxmlformats.org/officeDocument/2006/custom-properties" xmlns:vt="http://schemas.openxmlformats.org/officeDocument/2006/docPropsVTypes"/>
</file>