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projekta īstenošanas, maksājuma pieprasījumu un dalībnieku pārskata sagatavošanas un mērķa grupas atbilstības pārbaudes nolūkā un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w:t>
            </w:r>
            <w:r w:rsidR="00000000" w:rsidRPr="00000000" w:rsidDel="00000000">
              <w:rPr>
                <w:rtl w:val="0"/>
              </w:rPr>
              <w:t xml:space="preserve">3.1.7.</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iesaistei profesionālās kompetences pilnveides pasākumos veic šo mērķa grupas personu identificēšanu un uzskaiti, norādot personas datus atbilstoši 2023. gada 21. marta Ministru kabineta noteikumu Nr.135 “Eiropas Savienības fondu projektu pārbaužu veikšanas kārtība 2021.–2027. gada plānošanas periodā” 1.pielikumam, un iesniedz tos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18.9., 19.2.12., 21.4., 22.8. un 23.8. apakšpunktā minēta personu datu uzkrāšana atbilstības pārbaudes mērķa grupai veikšanas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8.1.13. apakšsadaļā minēts, ka mērķa grupas atbilstību pārbaudīs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finansējuma saņēmējs varēs pārbaudīt personas atbilstību mērķa grupai, ja profesionālās kompetences pilnveides pasākumus, supervīzijas u.c. īstenos pakalpojumu sniedzēji un pašvaldības. Aicinām izvērtēt, vai finansējuma saņēmējs neveiks tikai atbilstības pārbaudes pēcpārbaudi.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un pēc nepieciešamības precizēt noteikumu projektu un anotācijas 8.1.13.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projektu ar regulējumu, kas paredz pašvaldības kā sadarbības partnerus, un finansējuma saņēmēja pienākumu slēgt sadarbības līgumus ar pašvaldībām, ņemot vērā, ka noteikumu projektā pašvaldībām paredzēti pienākumi, tostarp pret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izziņā skaidrots, ka līdzšinēji kompensācija pašvaldībām par supervīziju nodrošināšanu sociālā darba speciālistiem tika nodrošināta Labklājības ministrijas īstenotā pasākuma Nr. 9.2.1.1. projekta ietvaros. Norādām, ka Ministru kabineta 2019. gada 17. decembra noteikumi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 paredz pašvaldības kā sadarbības partnerus.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šobrīd esošās MK noteikumu projekta 26.2.apakšpunkta redakcijas nav nepārprotami skaidrs, ka visās MK noteikumu projekta 12.punktā minētajās darbībās finansējuma saņēmējs preču un pakalpojumu sniedzējus izvēlēsies saskaņā ar normatīvajiem aktiem publisko iepirkumu jomā, īstenojot konkurenci nodrošinošu, pārredzamu, atklātu, nediskriminējošu konkursa procedūru, tādējādi izslēdzot komercdarbības atbalsta sniegšanas risku pakalpojuma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pasākuma virzītāju pārskatīt un izvērtēt 4.3.5.4.pasākumu un, ja komercdarbības atbalsta sniegšanas riska novēršanai ir iespējams pakalpojuma sniedzējus izvēlēties saskaņā ar 26.2.apakšpunktā noteikto, lūdzam to atbilstoši norādīt MK noteikumu projektā. Piemēram šobrīd nav skaidrs, vai 20.,22.,23.,24.,25.punktā paredzētās aktivitātes nodrošinās tāds finansējuma saņēmēja izvēlēts pakalpojuma sniedzējs, kas piesaistīts saskaņā ar normatīvajiem aktiem publisko iepirkumu jomā, īstenojot konkurenci nodrošinošu, pārredzamu, atklātu, nediskriminējošu konkursa procedūru.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12.1.2.</w:t>
            </w:r>
            <w:r w:rsidR="00000000" w:rsidRPr="00000000" w:rsidDel="00000000">
              <w:rPr>
                <w:rtl w:val="0"/>
              </w:rPr>
              <w:t xml:space="preserve">, </w:t>
            </w:r>
            <w:r w:rsidR="00000000" w:rsidRPr="00000000" w:rsidDel="00000000">
              <w:rPr>
                <w:rtl w:val="0"/>
              </w:rPr>
              <w:t xml:space="preserve">12.1.5.</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minētās darbības ietvaros finansējuma saņēmējs (turpmāk – atbalsta sniedzējs) šo noteikumu </w:t>
            </w:r>
            <w:r w:rsidR="00000000" w:rsidRPr="00000000" w:rsidDel="00000000">
              <w:rPr>
                <w:rtl w:val="0"/>
              </w:rPr>
              <w:t xml:space="preserve">3.</w:t>
            </w:r>
            <w:r w:rsidR="00000000" w:rsidRPr="00000000" w:rsidDel="00000000">
              <w:rPr>
                <w:rtl w:val="0"/>
              </w:rPr>
              <w:t xml:space="preserve"> 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29.punkts neatspoguļo anotācijā norādīto, ka: "</w:t>
            </w:r>
            <w:r w:rsidR="00000000" w:rsidRPr="00000000" w:rsidDel="00000000">
              <w:rPr>
                <w:i w:val="1"/>
                <w:rtl w:val="0"/>
              </w:rPr>
              <w:t xml:space="preserve">sociālo pakalpojumu sniedzējiem, augstskolām, augstskolu mācībspēkiem un  sociālā darba studiju programmu studentiem, izņemot sociālo pakalpojumu sniedzējus, augstskolas, kas nodarbojas ar saimnieciskām aktivitātēm un kuriem piešķirtais atbalsts kvalificējams kā komercdarbības atbalsts (turpmāk – atbalsta saņēmēji) un tiks sniegts saskaņā ar Komisijas 2013. gada 18. decembra Regulu (ES) Nr. 1407/2013 par Līguma par Eiropas Savienības darbību 107. un 108. panta piemērošanu de minimis atbalstam (turpmāk – Komisijas regula Nr. 1407/2013);</w:t>
            </w:r>
            <w:r w:rsidR="00000000" w:rsidRPr="00000000" w:rsidDel="00000000">
              <w:rPr>
                <w:rtl w:val="0"/>
              </w:rPr>
              <w:t xml:space="preserve">". Atbilstoši anotācijā skaidrotajam, MK noteikumu projektā arī ir jābūt norādītam, ka finansējuma saņēmējs vērtēs saimnieciskās darbības veicējus, vai tiem piešķiramais publiskais finansējums kvalificējams kā komercdarbības atbalsts, un lēmumu par de minimis atbalsta piešķiršanu pieņems tikai tad, ja tiks secināts, ka uz konkrēto atbalsta piešķīrumu izpildās visas Komercdarbības atbalsta kontroles likuma 5.pantā minētās pazīmes vienlaikus. Aicinām atbilstoši precizēt MK noteikumu projektu, kā arī anotācijā norādīt, ka finansējuma saņēmējs izstrādās metodiku izvērtējumam, lai secinātu, vai sociālo pakalpojumu sniedzēji un augstskolas uzskatāmi par saimnieciskās darbības veicējiem un vai tiem piešķiramais publiskais finansējums kvalificējams kā komercdarbības atbalsts, kuram piemērojami MK noteikumu projekta V.sadaļas nosacījumi par de minimis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komunikācijas un vizuālās identitātes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kurā izmaksu pozīcijā tiek plānots iekļaut noteikumu projekta 12.6. apakšpunktā norādīto atbalstāmo darbību, un pēc nepieciešamības attiecīgi papildināt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ja šo noteikumu </w:t>
            </w:r>
            <w:r w:rsidR="00000000" w:rsidRPr="00000000" w:rsidDel="00000000">
              <w:rPr>
                <w:rtl w:val="0"/>
              </w:rPr>
              <w:t xml:space="preserve">12.1.3.</w:t>
            </w:r>
            <w:r w:rsidR="00000000" w:rsidRPr="00000000" w:rsidDel="00000000">
              <w:rPr>
                <w:rtl w:val="0"/>
              </w:rPr>
              <w:t xml:space="preserve"> apakšpunktā minētā supervīzijas pakalpojuma paredzamā līgumcena ir mazāka par 750 000 </w:t>
            </w:r>
            <w:r w:rsidR="00000000" w:rsidRPr="00000000" w:rsidDel="00000000">
              <w:rPr>
                <w:i w:val="1"/>
                <w:rtl w:val="0"/>
              </w:rPr>
              <w:t xml:space="preserve">euro</w:t>
            </w:r>
            <w:r w:rsidR="00000000" w:rsidRPr="00000000" w:rsidDel="00000000">
              <w:rPr>
                <w:rtl w:val="0"/>
              </w:rPr>
              <w:t xml:space="preserve">,  izvēlas supervīzijas pakalpojuma sniedzēju tirgus izpētē saskaņā ar normatīvajiem aktiem par publiskajiem iepirkumiem, īstenojot konkurenci nodrošinošu, pārredzamu, nediskriminējošu un, kur tas ir attiecināms un atbilstošs projekta darbības specifikai, sociāli atbildīgu konkursa procedūru, kas atbilst publiskā iepirkuma principiem un tādējādi izslēdz komercdarbības atbalstu preču un pakalpojumu sniedzēju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19.2.1. un 19.2.2.apakšpunktus apvienot vienā punktā, nosakot, ka supervīzijas pakalpojums veicams atbilstoši normatīvajiem aktiem publisko iepirkumu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ja tiek veikta </w:t>
            </w:r>
            <w:r w:rsidR="00000000" w:rsidRPr="00000000" w:rsidDel="00000000">
              <w:rPr>
                <w:rtl w:val="0"/>
              </w:rPr>
              <w:t xml:space="preserve">19.2.1.</w:t>
            </w:r>
            <w:r w:rsidR="00000000" w:rsidRPr="00000000" w:rsidDel="00000000">
              <w:rPr>
                <w:rtl w:val="0"/>
              </w:rPr>
              <w:t xml:space="preserve"> apakšpunktā minētā tirgus izpēte, izvēlas supervīzijas pakalpojuma sniedzēju, kas ir sertificēts un iekļauts sertificētu supervīzijas pakalpojuma sniedzēju reģistrā, kas publicēts tās organizācijas tīmekļa vietnē, kura pārstāv Latviju Eiropas nacionālo supervizoru organizāciju asociācijā </w:t>
            </w:r>
            <w:r w:rsidR="00000000" w:rsidRPr="00000000" w:rsidDel="00000000">
              <w:rPr>
                <w:i w:val="1"/>
                <w:rtl w:val="0"/>
              </w:rPr>
              <w:t xml:space="preserve">ANSE</w:t>
            </w:r>
            <w:r w:rsidR="00000000" w:rsidRPr="00000000" w:rsidDel="00000000">
              <w:rPr>
                <w:rtl w:val="0"/>
              </w:rPr>
              <w:t xml:space="preserve"> (</w:t>
            </w:r>
            <w:r w:rsidR="00000000" w:rsidRPr="00000000" w:rsidDel="00000000">
              <w:rPr>
                <w:i w:val="1"/>
                <w:rtl w:val="0"/>
              </w:rPr>
              <w:t xml:space="preserve">Association of National Organisations for Supervision in Europe</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būtu nosakāmas atšķirīgas prasības supervīzijas pakalpojumu sniedzējiem, piemērojot dažādu normatīvo aktu regulējumu, ņemot vērā, ka saskaņā ar profesionālo maģistra grāda kvalifikāciju šāda mācību programma atbilst Eiropas Nacionālo supervīzijas organizāciju asociācijas (ANSE) vadlīnijām un supervizora profesijas standarta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projekta īstenošanas, maksājuma pieprasījumu un dalībnieku pārskata sagatavošanas un mērķa grupas atbilstības pārbaudes nolūkā un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un </w:t>
            </w:r>
            <w:r w:rsidR="00000000" w:rsidRPr="00000000" w:rsidDel="00000000">
              <w:rPr>
                <w:rtl w:val="0"/>
              </w:rPr>
              <w:t xml:space="preserve">3.1.7.</w:t>
            </w:r>
            <w:r w:rsidR="00000000" w:rsidRPr="00000000" w:rsidDel="00000000">
              <w:rPr>
                <w:rtl w:val="0"/>
              </w:rPr>
              <w:t xml:space="preserve"> apakšpunktā minētās mērķa grupas iesaistei profesionālās kompetences pilnveides pasākumos veic šo mērķa grupas personu identificēšanu un uzskaiti, norādot personas datus atbilstoši 2023. gada 21. marta Ministru kabineta noteikumu Nr.135 “Eiropas Savienības fondu projektu pārbaužu veikšanas kārtība 2021.–2027. gada plānošanas periodā” 1.pielikumam, un iesniedz tos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dati ievācami par visām noteikumu projekta 3.1.apakšpunktos minētajām mērķa grupas personām, lūdzam izvērtēt, vai nebūtu norādāma atsauce uz 3.1.apakšpunktu, neizdalot detalizētāk.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apakšsadaļu "Risinājuma apraksts" ar informāciju, ka finansējuma saņēmējs izstrādās kārtību, kādā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norādījusi,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Informatīvo ziņojumu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kas izskatīts MK 2022. gada 20.septembra sēdē, 4.3.5.4. pasākuma īstenošana tika uzsākta 2022. gada 4. ceturksnī, t.i., pirms MK noteikumu par 4.3.5.4. pasākuma īstenošanu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piekrītam, ka pasākumam, kura īstenošana ir uzsākta, izmaksu un ieguvumu analīzes veikšana nav lietderīga. Vienlaikus lūdzam svītrot pārējos argumentus, kas izmantoti, lai neveiktu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pasākuma paredzēšana politikas plānošanas dokumentos vai tiesību aktos nav arguments izmaksu un ieguvumu analīzes neveikšanai, un tas negarantē, ka ieguvumi no pasākuma īstenošanas būs vismaz tikpat lieli, cik pasākumam piešķirtais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darbībai ir jābūt orientētai uz rezultātu, nevis procesu. Kā pasākuma mērķis ir norādīts - paaugstināt sociālā darba efektivitāti un sociālajā jomā strādājošo speciālistu profesionalitāti, bet gala labuma guvēji tomēr ir personas, kurām šie speciālisti sniedz palīdzību. Attiecīgi pasākuma efektivitāte jāmēra, balstoties uz gala labuma guvējus pozitīvi ietekmējošām izmaiņām, piemēram, par cik samazināsies valsts sociālā budžeta izmaksas, ņemot vērā to personu skaita samazinājumu, kurām profesionālāku pakalpojumu sniegšanas rezultātā vairs nebūs nepieciešama sociālā palīdzība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pretrunīgu informāciju, jo anotācijā ir norādīts, ka "vienlaikus 4.3.5.4. pasākuma ietvaros plānots veikt īstenoto darbību ietekmes novērtējumu, īstenojot projekta ex-post izvērtējumu", savukārt anotācijas 1.5.sadaļā "Pēcpārbaudes (ex-post) izvērtējums" ir norādīts, ka pēcpārbaudes (ex-post) izvērtējums netiks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šo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aprēķinā iekļautā informācija nav tieši izmantojama projekta īstenošanai nepieciešamā valsts budžeta līdzekļu plānošanai, jo likmes aprēķins ir balstīts uz pieņēmumiem (proti, tā ir personāla un tam nepieciešamā finansējuma prognoze).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apakšsadaļā "Risinājuma apraksts" precizēt teikumu "Netiešās attiecināmās izmaksas finansējuma saņēmējs plāno kā vienu izmaksu pozīciju 7 procentu apmērā no 4.3.5.4. pasākuma kopējām attiecināmajām izmaksām", ņemot vērā, ka saskaņā ar Finanšu ministrijas vadlīnijām Nr.1.1. "Vadlīnijas vienkāršoto izmaksu izmaksu izmantošanas iespējām un to piemērošanu Eiropas Savienības kohēzijas politikas programmas 2021.-2027.gada plānošanas periodā"  netiešo izmaksu aprēķina bāze ir tiešās attiecināmās izmaksas, nevis pasākuma kopējās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Labklājības ministriju un papildināt anotācijas 2.1. sadaļas atbilstošo apakšsadaļu "Ietekmes apraksts", ka Labklājības ministrija pildīs atbildīgās iestādes un finansējuma saņēmēja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22-TA-3784</w:t>
    </w:r>
    <w:r>
      <w:br/>
    </w:r>
    <w:r w:rsidR="00000000" w:rsidRPr="00000000" w:rsidDel="00000000">
      <w:rPr>
        <w:rtl w:val="0"/>
      </w:rPr>
      <w:t xml:space="preserve">Izdrukāts 16.10.2023.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22-TA-3784</w:t>
    </w:r>
    <w:r>
      <w:br/>
    </w:r>
    <w:r w:rsidR="00000000" w:rsidRPr="00000000" w:rsidDel="00000000">
      <w:rPr>
        <w:rtl w:val="0"/>
      </w:rPr>
      <w:t xml:space="preserve">Izdrukāts 16.10.2023.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Atzinumi_22-TA-3784.docx</dc:title>
</cp:coreProperties>
</file>

<file path=docProps/custom.xml><?xml version="1.0" encoding="utf-8"?>
<Properties xmlns="http://schemas.openxmlformats.org/officeDocument/2006/custom-properties" xmlns:vt="http://schemas.openxmlformats.org/officeDocument/2006/docPropsVTypes"/>
</file>