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23-TA-2996: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2023. gada 7. novembra noteikumos Nr. 641 "Eiropas Savienības ārkārtas atbalsta piešķiršanas noteikumi lauksaimniekiem augļu un ogu, piena un gaļas liellopu, aitu, kazu un zirgu audzēšanas nozarē"</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anotāciju atbilstoši juridiskās tehnikas prasībām, ievērojot, ka saīsinājumus piesaka pirmajā vietā juridiskajā tekstā, kur lietots attiecīgais saīsināmais jēdziens vai termins. Tāpat pieteiktie saīsinājumi konsekventi lietojami tālāk dokumenta tekstā. Minētais attiecas, piemēram, uz saīsinājumu "MK", "LAD", "VAAD", "LLKC", "ZM", un to, ka paralēli tiek lietots piemēram, gan "LAD", gan Lauku atbalsta dienests u.tml.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Skaidrojot projektu, lūdzam lietot vienveidīgus formulējumus, vēršam uzmanību, ka paralēli tiek lietots gan "1 hektārs", gan "viens hektārs", gan "1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iesakām pārskatīt arī anotācijā sniegto skaidrojumu par to, ka "Elektroniskajā pieteikšanās sistēmā tika saņemti vairāki pieteikumi (</w:t>
            </w:r>
            <w:r w:rsidR="00000000" w:rsidRPr="00000000" w:rsidDel="00000000">
              <w:rPr>
                <w:b w:val="1"/>
                <w:rtl w:val="0"/>
              </w:rPr>
              <w:t xml:space="preserve">septiņi</w:t>
            </w:r>
            <w:r w:rsidR="00000000" w:rsidRPr="00000000" w:rsidDel="00000000">
              <w:rPr>
                <w:rtl w:val="0"/>
              </w:rPr>
              <w:t xml:space="preserve">) par tādām augļkopības platībām, kur kopējā salnā cietusī platība ir mazāka par 1 hektāru.", jo paralēlā skaidrojumā norādīts, ka šādu iesniegumu skaits ir </w:t>
            </w:r>
            <w:r w:rsidR="00000000" w:rsidRPr="00000000" w:rsidDel="00000000">
              <w:rPr>
                <w:b w:val="1"/>
                <w:rtl w:val="0"/>
              </w:rPr>
              <w:t xml:space="preserve">astoņi</w:t>
            </w:r>
            <w:r w:rsidR="00000000" w:rsidRPr="00000000" w:rsidDel="00000000">
              <w:rPr>
                <w:rtl w:val="0"/>
              </w:rPr>
              <w:t xml:space="preserve">. Nepieciešamības gadījumā lūdzam precizēt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atsauci uz Ministru kabineta noteikumiem anotācijā noformēt atbilstoši Ministru kabineta 2009. gada 3. februāra noteikumu Nr. 108 "Normatīvo aktu projektu sagatavošanas noteikumi" 133.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 gada 7. novembra noteikumi Nr. 641 "Eiropas Savienības ārkārtas atbalsta piešķiršanas noteikumi lauksaimniekiem augļu un ogu, piena un gaļas liellopu, aitu, kazu un zirgu audzēšanas nozarē".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anotācijas 1.1. apakšpunkta aprakstu, jo, piemēram, tā otrajā punktā šķietami iztrūkst daļa teksta. No pašreizējās redakcijas saprotams, ka ņemot vērā Lauku atbalsta dienesta informāciju par iespēju pieteikties apsekošanai un nosacījumu par minimālajām platībām, kas ir jāpiesaka apsekošanai, kaut kāds subjektu loks nebija pieteicies apsekošanai, konkrēti tos nepieminot, kas savukārt nenodrošina šīs informācijas korektu uztveramību.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nepieciešamības gadījumā, lūdzam precizēt skaidrojumus, nodrošinot pamatojuma korektu, skaidri un viennozīmīgi saprotamu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iesakām pārskatīt arī, piemēram, anotācijas 2.1. apakšpunkta formulējumu "iesniegumi (lauksaimnieki) augļu un ogu nozarē", kurā nav īsti saprotams daļas "(lauksaimnieki)" lietojums, iederība tajā.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sniegtajai informācijai Ministru kabineta 2023. gada 7. novembra noteikumos Nr. 641 "Eiropas Savienības ārkārtas atbalsta piešķiršanas noteikumi lauksaimniekiem augļu un ogu, piena un gaļas liellopu, aitu, kazu un zirgu audzēšanas nozarē" (turpmāk – noteikumi Nr. 641)  plānoti tehniski precizējumi. Norādām, ka atbilstoši Ministru kabineta 2009. gada 3. februāra noteikumu Nr.108 "Normatīvo aktu projektu sagatavošanas noteikumi" 3.</w:t>
            </w:r>
            <w:r w:rsidR="00000000" w:rsidRPr="00000000" w:rsidDel="00000000">
              <w:rPr>
                <w:vertAlign w:val="superscript"/>
                <w:rtl w:val="0"/>
              </w:rPr>
              <w:t xml:space="preserve">1</w:t>
            </w:r>
            <w:r w:rsidR="00000000" w:rsidRPr="00000000" w:rsidDel="00000000">
              <w:rPr>
                <w:rtl w:val="0"/>
              </w:rPr>
              <w:t xml:space="preserve"> punktam grozījumus normatīvajā aktā sagatavo, ja normatīvo aktu nepieciešams grozīt pēc būtības. Savukārt redakcionālus precizējumus sagatavo vienlaikus ar normatīvā akta grozījumiem pēc būtības. Minētā norma ieviesta, lai mazinātu normatīvo aktu grozīšanas biežumu.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anotācijā uzsverot grozījumu tehnisko raksturu secināms, ka projekts nemaina regulējumu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plānoto grozījumu raksturu un, ja projektā paredzētie grozījumi tiešām ir tehniski, tad nevirzīt projektu apstiprināšanai Ministru kabinetā, bet gan tehniskos precizējumus veikt vienlaicīgi ar grozījumiem noteikumos Nr. 641 pēc būtības. Savukārt, konstatējot grozījumu būtiskumu,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labot anotācijā ietverto norādi uz to, ka plānotie grozījumi ir tikai tehniski;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konkrētāk skaidrot grozījumu nepieciešamību, norādot uz riskiem un problēmām, kuras plānots novērst, kā arī uzsverot plānoto grozījumu būtisko raksturu. Piemēram, kā norādīts anotācijas 1.1. apakšpunkta aprakstā.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 uz nodarbinātību: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anotācijas 2.2.6. un 8.1.8. apakšpunktus un nepieciešamības gadījumā tos salāgot. No anotācijas 2.2.6. apakšpunkta izriet, ka projektam nav ietekmes uz nodarbinātību, bet, tajā pašā laikā, anotācijas 8.1.8. apakšpunktā sniegti skaidrojumi par to, ka projekts ietekmē nodarbinātību.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anotācijas 5. punktu, ņemot vērā, ka atbilstoši noteikumu Nr. 641 anotācijai ar projektā grozījumiem pakļauto noteikumu Nr. 641 18. punktu ir ieviests Komisijas 2023. gada 14. jūlija Īstenošanas regulas (ES) 2023/1465, ar ko nodrošina ārkārtas finansiālo atbalstu lauksaimniecības sektoriem, kurus skārušas īpašas problēmas, kas ietekmē lauksaimniecības produktu ražotāju ekonomisko dzīvotspēju 1. panta otrais punkts. Attiecīgi lūdzam pārskatīt projektu un izvērtēt, vai uz to attiecināmā, šī projekta anotācijā nenorādītā (iepriekš ieviestā), Eiropas Savienības tiesību norma joprojām ir attiecināma. Šādā gadījumā, iesakām papildināt anotācijas 5. punktu ar norādēm uz iepriekšminēto Eiropas Savienības tiesību aktu un tā konkrēto tiesību normu vai arī norādīt, ka līdz šim pārņemtās/ieviestās, no Eiropas Savienības tiesību normām  izrietošās prasības netiek mainītas, ietekmētas vai nepārņemtas.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6. punktu un veikt nepieciešamos precizējumus. Vēršam uzmanību, ka konkrētajā punktā norāda vai projektam ir nodrošināta sabiedrības līdzdalība. Ņemot vērā anotācijas 6. punktā sniegto informāciju secināms, ka uz konkrēto projektu attiecas sabiedrības līdzdalība, bet nav sniegta pilnīga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sabiedrības līdzdalība tiek nodrošināta aizpilda: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anotācijas 6.1. apakšpunktu, norādot konkrētās valsts un pašvaldību institūcijas un nevalstiskās organizācijas, kuras bija iesaistītas projekta izstrādē;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anotācijas 6.2. apakšpunktu, norādot īstenotos līdzdalības veidus;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anotācijas 6.3. apakšpunktu, sniedzot apkopojumu par līdzdalības procesa kopējiem rezultātiem (raksturojot visus izmantotos veidus) un to ietekmi uz projekta saturu.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un nepieciešamības gadījumā precizēt anotācijas 7.punktu, ņemot vērā, ka, pamatojoties uz anotācijā sniegtajiem skaidrojumiem, tiesību akta projekta izpildes nodrošināšanā ir iesaistīts, piemēram, Lauku atbalsta dienests.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23-TA-2996</w:t>
    </w:r>
    <w:r>
      <w:br/>
    </w:r>
    <w:r w:rsidR="00000000" w:rsidRPr="00000000" w:rsidDel="00000000">
      <w:rPr>
        <w:rtl w:val="0"/>
      </w:rPr>
      <w:t xml:space="preserve">Izdrukāts 27.11.2023. 16.47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23-TA-2996</w:t>
    </w:r>
    <w:r>
      <w:br/>
    </w:r>
    <w:r w:rsidR="00000000" w:rsidRPr="00000000" w:rsidDel="00000000">
      <w:rPr>
        <w:rtl w:val="0"/>
      </w:rPr>
      <w:t xml:space="preserve">Izdrukāts 27.11.2023. 16.47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Atzinumi_23-TA-2996.docx</dc:title>
</cp:coreProperties>
</file>

<file path=docProps/custom.xml><?xml version="1.0" encoding="utf-8"?>
<Properties xmlns="http://schemas.openxmlformats.org/officeDocument/2006/custom-properties" xmlns:vt="http://schemas.openxmlformats.org/officeDocument/2006/docPropsVTypes"/>
</file>