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w:t>
            </w:r>
            <w:r w:rsidR="00000000" w:rsidRPr="00000000" w:rsidDel="00000000">
              <w:rPr>
                <w:rtl w:val="0"/>
              </w:rPr>
              <w:t xml:space="preserve">Valsts un pašvaldību institūciju amatpersonu un darbinieku atlīdzības likuma</w:t>
            </w:r>
            <w:r w:rsidR="00000000" w:rsidRPr="00000000" w:rsidDel="00000000">
              <w:rPr>
                <w:rtl w:val="0"/>
              </w:rPr>
              <w:t xml:space="preserve">  </w:t>
            </w:r>
            <w:r w:rsidR="00000000" w:rsidRPr="00000000" w:rsidDel="00000000">
              <w:rPr>
                <w:rtl w:val="0"/>
              </w:rPr>
              <w:t xml:space="preserve">3. panta</w:t>
            </w:r>
            <w:r w:rsidR="00000000" w:rsidRPr="00000000" w:rsidDel="00000000">
              <w:rPr>
                <w:rtl w:val="0"/>
              </w:rPr>
              <w:t xml:space="preserve"> sesto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Valsts un pašvaldību institūciju amatpersonu un darbinieku atlīdzības likuma  3. panta piekto un sesto daļu, un uz amatpersonu (darbinieku), kurai laika periodā līdz 2025.gada 31.decembrim piemaksa 2026.gada ietvaros ir tikusi pielīgta darba līgumā”. Alternatīvs priekšlikums pie pēdējā papildteikuma – noteikt pārejas periodu, kādā ES projektos un citu ārvalsts finanšu instrumentu finansējuma projektos saglabāt piemaksas līdzšinējā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attiecībā par Valsts un pašvaldību institūciju amatpersonu un darbinieku atlīdzības likuma, turpmāk – Atlīdzības likums,  3.panta piektās daļas ietveršanu tekstā - Atlīdzības likuma 3.panta sestā daļa pirmajā teikumā norāda, ka tā piemērojama saskaņā ar 3.panta piekto daļu. Līdz ar to ir lietderīga arī atsauce uz piekto daļu, lai tiesību normu piemērotajam radītu precīzāku izpratni par MK noteikumu 2.punkta regulējuma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attiecībā uz iepriekš pielīgtas piemaksas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Darba likuma 6.pants aizliedz darba devējam vienpusēji pasliktināt darbinieka tiesisko stāvokli, līdz ar to palielinātos sūdzību un tiesvedību riski, ja darba devējs vienpusēji samazina jau pielīgtas piemaksas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ES projektos visas finanšu plūsmas un aktivitātes ir iepriekš un detalizēti saplānotas. Līdz ar to izmaiņas radītu riskus, ka iepriekš uzsāktie projekti netiek pabeigt atbilstoši plānam, t.sk. veidotos riski par finansējuma neapguvi. Turklāt jau apstiprinātos ES projektos ietekme tiešā veidā uz valsts budžetu neveidojas, ņemot vērā, ka projektu finansējums ir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 RTU uztur jau iepriekš izteiktos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Valsts un pašvaldību institūciju amatpersonu un darbinieku atlīdzības likuma  3. panta piekto un sesto daļu, un uz amatpersonu (darbinieku), kurai laika periodā līdz 2025.gada 31.decembrim piemaksa 2026.gada ietvaros ir tikusi pielīgta darba līgumā”.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Alternatīvs priekšlikums pie pēdējā papildteikuma – noteikt pārejas periodu, kādā ES projektos un citu ārvalsts finanšu instrumentu finansējuma projektos saglabāt piemaksas līdzšinējā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