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autoceļu attīstības stratēģiju līdz 2040.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7. tabulā rindā “Autoceļu finansējums kopā” norādīto apmēru, ņemot vērā, ka atbilstoši iepriekš izteiktajam FM iebildumam ir veikti precizējumi rindā “Valsts autoceļu fonds” un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protokollēmuma 2.punktā veikto precizējumu, kas nosaka, ka turpmākā rīcība nodrošināma Satiksmes ministrijas esošo valsts budžeta līdzekļu ietvaros vai piesaistot papildu ES fondu un citu ārvalstu finanšu palīdzības finansējumu, lūdzam arī ziņojuma 27.lp. pēdējā rindkopā un 19., 22., 24., un 29.lp. zemsvītras atsaucēs precizēt norādes par jautājuma par papildu valsts budžeta līdzekļu piešķiršanu izskatīšanu likumprojekta par valsts budžetu kārtējam gadam un likumprojekta par vidēja termiņa budžeta ietvaru sagatavošanas un izskatīšanas procesā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prioritāti ir noteicis aizsardzību un demogrāfiju, kā arī ir noteicis ministrijām un citām centrālajām valsts iestādēm nesniegt priekšlikumus prioritārajiem pasākumiem (MK 27.03.2025. rīkojums Nr.179, kas tika grozīts ar MK 26.06.2025. rīkojumu Nr.377),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pieņēmis zināšanai, ka fiskālā telpa 2026. gadā ir 39,7 milj. euro, savukārt turpmākajos gados negatīva, proti, 2027. gadā ir -140,1 milj. euro, 2028. gadā ir -144,4 milj. euro un 2029. gadā ir -321,6 milj. euro (MK 19.08.2025. prot. Nr.32 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attiecīgi nozīmē, ka aktuālās valsts budžeta finansiālās iespējas šobrīd nepieļauj papildu valsts budžeta līdzekļu piešķiršanu valsts autoceļiem, attiecīgi finansējuma nodrošināšanai ir nepieciešami citi risinājumi, tāpēc arī minētajās ziņojuma vietās nepieciešams precizēt, ka turpmākā rīcība nodrošināma Satiksmes ministrijas esošo valsts budžeta līdzekļu ietvaros vai piesaistot papildu ES fondu un citu ārvalstu finanšu palīdzības finansējumu, lai neveidojas pretruna ar līdzšinēji pieņemtajiem aktuālajiem Ministru kabineta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02.09.2025.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02.09.2025.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Atzinumi_25-TA-1223.docx</dc:title>
</cp:coreProperties>
</file>

<file path=docProps/custom.xml><?xml version="1.0" encoding="utf-8"?>
<Properties xmlns="http://schemas.openxmlformats.org/officeDocument/2006/custom-properties" xmlns:vt="http://schemas.openxmlformats.org/officeDocument/2006/docPropsVTypes"/>
</file>