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26-TA-1902: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2026. gada 14. aprīļa noteikumos Nr. 204 "Kritēriji un kārtība, kādā valsts piedalās pedagogu darba samaksas finansēšanā vispārējās pamatizglītības un vispārējās vidējās izglītības pakāpē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1.–7. grupa – izglītības iestādēm atkarībā no tās pašvaldību administratīvi teritoriālās vienības urbanizācijas līmeņa, kurā atrodas izglītības iestāde;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savienības (LPS) un Izglītības un zinātnes ministrijas (IZM) sarunu Vienošanās un domstarpību parakstītā  protokola (2026. gada 29. jūnijā) 8.punkts "Par pašvaldību grupas (DEGURBA) noteikšanas metodiku"  tika panākta vienošanās: </w:t>
            </w:r>
            <w:r w:rsidR="00000000" w:rsidRPr="00000000" w:rsidDel="00000000">
              <w:rPr>
                <w:b w:val="1"/>
                <w:rtl w:val="0"/>
              </w:rPr>
              <w:t xml:space="preserve">Puses vienojas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 izvērtēt iespējamos risinājumus un veikt atbilstošus fiskālās ietekmes aprēķinus, ja papildus kvantitatīvajiem kritērijiem, kas tiek noteikti pēc pašvaldību iedalījuma DEGURBA grupās un jau noteiktiem izņēmuma gadījumiem atbilstoši 2026. gada 14. aprīļa noteikumos Nr. 204 “Kritēriji un kārtība, kādā valsts piedalās pedagogu darba samaksas finansēšanā vispārējās pamatizglītības un vispārējās vidējās izglītības pakāpē” </w:t>
            </w:r>
            <w:r w:rsidR="00000000" w:rsidRPr="00000000" w:rsidDel="00000000">
              <w:rPr>
                <w:b w:val="1"/>
                <w:rtl w:val="0"/>
              </w:rPr>
              <w:t xml:space="preserve">noteiktajam, lēmumu pieņemšanā par pedagogu darba samaksas finansēšanu vispārējā pamatizglītības un vispārējās vidējās izglītības pakāpē tiktu izmantoti kombinēti kritēriji: demogrāfiskās tendences, izglītības kvalitāte, izglītības pieejamība, pašvaldības teritorijas attīstības vajadzības un perspektīvas.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 nepilda parakstīto vienošanos un nav pārskatījusi pašvaldījumu iedalījumu grupās. N</w:t>
            </w:r>
            <w:r w:rsidR="00000000" w:rsidRPr="00000000" w:rsidDel="00000000">
              <w:rPr>
                <w:b w:val="1"/>
                <w:rtl w:val="0"/>
              </w:rPr>
              <w:t xml:space="preserve">eatbilstība ir aprakstīta pie 1.pielikuma.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Ināra Dundure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23.2. ja izglītojamo skaits ir mazāks nekā šo noteikumu </w:t>
            </w:r>
            <w:r w:rsidR="00000000" w:rsidRPr="00000000" w:rsidDel="00000000">
              <w:rPr>
                <w:rtl w:val="0"/>
              </w:rPr>
              <w:t xml:space="preserve">3. </w:t>
            </w:r>
            <w:r w:rsidR="00000000" w:rsidRPr="00000000" w:rsidDel="00000000">
              <w:rPr>
                <w:rtl w:val="0"/>
              </w:rPr>
              <w:t xml:space="preserve">pielikumā</w:t>
            </w:r>
            <w:r w:rsidR="00000000" w:rsidRPr="00000000" w:rsidDel="00000000">
              <w:rPr>
                <w:rtl w:val="0"/>
              </w:rPr>
              <w:t xml:space="preserve">  norādītais kvantitatīvais rādītājs, bet izglītības iestāde 10.–12. klašu grupā  nodrošina vismaz 15 izglītojamos, tad 2026./2027. mācību gadā valsts, ievērojot šo noteikumu </w:t>
            </w:r>
            <w:r w:rsidR="00000000" w:rsidRPr="00000000" w:rsidDel="00000000">
              <w:rPr>
                <w:rtl w:val="0"/>
              </w:rPr>
              <w:t xml:space="preserve">9. </w:t>
            </w:r>
            <w:r w:rsidR="00000000" w:rsidRPr="00000000" w:rsidDel="00000000">
              <w:rPr>
                <w:rtl w:val="0"/>
              </w:rPr>
              <w:t xml:space="preserve">punktu</w:t>
            </w:r>
            <w:r w:rsidR="00000000" w:rsidRPr="00000000" w:rsidDel="00000000">
              <w:rPr>
                <w:rtl w:val="0"/>
              </w:rPr>
              <w:t xml:space="preserve">, piedalās pašvaldības, valsts augstskolas un privātās izglītības iestādes nodarbināto: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Pašvaldību savienība ierosina noteikumu projekta 3. pielikumā veikt šādu grozījumu: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w:t>
            </w:r>
            <w:r w:rsidR="00000000" w:rsidRPr="00000000" w:rsidDel="00000000">
              <w:rPr>
                <w:rtl w:val="0"/>
              </w:rPr>
              <w:t xml:space="preserve">  3..DEGURBA  pašvaldībām vidusskolas posmā (10.-12.klases), </w:t>
            </w:r>
            <w:r w:rsidR="00000000" w:rsidRPr="00000000" w:rsidDel="00000000">
              <w:rPr>
                <w:b w:val="1"/>
                <w:rtl w:val="0"/>
              </w:rPr>
              <w:t xml:space="preserve">kā pamata normu  pieļaujamo skolēnu skaitu noteikt 90.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Viens no būtiskākajiem ilgtspējīgas atalgojuma sistēmas priekšnosacījumiem ir prognozējams skolēnu skaits, kas ļauj plānot nepieciešamo pedagogu slodzi, mācību priekšmetu piedāvājumu un finansējumu vairākiem gadiem uz priekšu. Jāņem vērā, ka iedzīvotāju mobilitāte līdz ar to arī skolēnu notiek lielo pilsētu virzienā. Demogrāfijas prognozes liecina, ka iedzīvotāju skaits tai skaitā arī skolēnu skaits saruks arī novadu centros. Ir jānodrošina pietiekama un ilgtspējīga vidusskolas programmu pieejamība.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Jau šobrīd Saldus vidusskola nesasniedz noteikto skolēnu skaitu vidusskolas posmā 120, faktiskais skolēnu skaits ir 112 skolēni. Kritiska situācija ir arī citos novadu centros.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2.Atbalstāmm pārejas periodu, nosakot </w:t>
            </w:r>
            <w:r w:rsidR="00000000" w:rsidRPr="00000000" w:rsidDel="00000000">
              <w:rPr>
                <w:rtl w:val="0"/>
              </w:rPr>
              <w:t xml:space="preserve">10.–12. klašu grupā  nodrošina vismaz 15 izglītojamos, tad 2026./2027. mācību gadā valsts, ievērojot šo noteikumu 9. punktu, piedalās pašvaldības, valsts augstskolas un privātās izglītības iestādes nodarbināto: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Ināra Dundure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Pašvaldību administratīvi teritoriālo vienību iedalījuma grupas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LPS iebilst pret atsevišķu pašvaldību pilsētu un apdzīvoto vietu grupu noteikšanu, neņemot demogrāfijas tendences.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w:t>
            </w:r>
            <w:r w:rsidR="00000000" w:rsidRPr="00000000" w:rsidDel="00000000">
              <w:rPr>
                <w:rtl w:val="0"/>
              </w:rPr>
              <w:t xml:space="preserve">. </w:t>
            </w:r>
            <w:r w:rsidR="00000000" w:rsidRPr="00000000" w:rsidDel="00000000">
              <w:rPr>
                <w:b w:val="1"/>
                <w:rtl w:val="0"/>
              </w:rPr>
              <w:t xml:space="preserve">Nepamatoti Saldus pilsētai ir noteikta 2.grupa, pielīdzinot valstspilsētām.</w:t>
            </w:r>
            <w:r w:rsidR="00000000" w:rsidRPr="00000000" w:rsidDel="00000000">
              <w:rPr>
                <w:rtl w:val="0"/>
              </w:rPr>
              <w:t xml:space="preserve"> Sākotnēji tika noteikta 3.grupa. Bez pamatojuma Saldus pilsētai ir piešķirta 2. grupa.</w:t>
            </w:r>
            <w:r w:rsidR="00000000" w:rsidRPr="00000000" w:rsidDel="00000000">
              <w:rPr>
                <w:b w:val="1"/>
                <w:rtl w:val="0"/>
              </w:rPr>
              <w:t xml:space="preserve"> Lūdzu noteikt 3.grupu.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Saldus pilsētas Iedzīvotāju skaita izmaiņas pēdējos trīs gados:  </w:t>
            </w:r>
            <w:r w:rsidR="00000000" w:rsidRPr="00000000" w:rsidDel="00000000">
              <w:rPr>
                <w:b w:val="1"/>
                <w:rtl w:val="0"/>
              </w:rPr>
              <w:t xml:space="preserve">2025.g.- 9686;</w:t>
            </w:r>
            <w:r w:rsidR="00000000" w:rsidRPr="00000000" w:rsidDel="00000000">
              <w:rPr>
                <w:rtl w:val="0"/>
              </w:rPr>
              <w:t xml:space="preserve"> </w:t>
            </w:r>
            <w:r w:rsidR="00000000" w:rsidRPr="00000000" w:rsidDel="00000000">
              <w:rPr>
                <w:b w:val="1"/>
                <w:rtl w:val="0"/>
              </w:rPr>
              <w:t xml:space="preserve">Iedzīvotāju blīvums  980,6 iedz./km</w:t>
            </w:r>
            <w:r w:rsidR="00000000" w:rsidRPr="00000000" w:rsidDel="00000000">
              <w:rPr>
                <w:b w:val="1"/>
                <w:vertAlign w:val="superscript"/>
                <w:rtl w:val="0"/>
              </w:rPr>
              <w:t xml:space="preserve">2</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Nepamatoti Aizkraukles pilsētai ir noteikta 2.grupa, pielīdzinot valstspilsētām. Lūdzu noteikt 3.grupu.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Aizkrauklē ir daudzstāvu apbūve līdz ar to, nekritiski piemērojot  DEGURBA  statistikas rīku, Aizkraukle nonāk 2.DEGURBA grupā. Aizkraukles pilsētas Iedzīvotāju skaits</w:t>
            </w:r>
            <w:r w:rsidR="00000000" w:rsidRPr="00000000" w:rsidDel="00000000">
              <w:rPr>
                <w:b w:val="1"/>
                <w:rtl w:val="0"/>
              </w:rPr>
              <w:t xml:space="preserve"> ir 6 689 (2025.gada dati), iedzīvotāju blīvums  blīvums 832,0 iedz./km</w:t>
            </w:r>
            <w:r w:rsidR="00000000" w:rsidRPr="00000000" w:rsidDel="00000000">
              <w:rPr>
                <w:b w:val="1"/>
                <w:vertAlign w:val="superscript"/>
                <w:rtl w:val="0"/>
              </w:rPr>
              <w:t xml:space="preserve">2 </w:t>
            </w:r>
            <w:r w:rsidR="00000000" w:rsidRPr="00000000" w:rsidDel="00000000">
              <w:rPr>
                <w:rtl w:val="0"/>
              </w:rPr>
              <w:t xml:space="preserve"> Maksimālais iedzīvotāju skaits pilsētā bija 1992. gadā — 10 521 cilvēks.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 Nepamatoti Tukuma pilsētai noteikta 4.grupa. Tai ir jābūt 3.grupā.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Tukuma pilsētā ir </w:t>
            </w:r>
            <w:r w:rsidR="00000000" w:rsidRPr="00000000" w:rsidDel="00000000">
              <w:rPr>
                <w:b w:val="1"/>
                <w:rtl w:val="0"/>
              </w:rPr>
              <w:t xml:space="preserve">16 182 Iedzīvotāji (2025.gada dati), iedzīvotāju blīvums ir  1199,6 iedz./km</w:t>
            </w:r>
            <w:r w:rsidR="00000000" w:rsidRPr="00000000" w:rsidDel="00000000">
              <w:rPr>
                <w:b w:val="1"/>
                <w:vertAlign w:val="superscript"/>
                <w:rtl w:val="0"/>
              </w:rPr>
              <w:t xml:space="preserve">2</w:t>
            </w:r>
            <w:r w:rsidR="00000000" w:rsidRPr="00000000" w:rsidDel="00000000">
              <w:rPr>
                <w:vertAlign w:val="superscript"/>
                <w:rtl w:val="0"/>
              </w:rPr>
              <w:t xml:space="preserve">.</w:t>
            </w:r>
            <w:r w:rsidR="00000000" w:rsidRPr="00000000" w:rsidDel="00000000">
              <w:rPr>
                <w:rtl w:val="0"/>
              </w:rPr>
              <w:t xml:space="preserve">  Tukuma pilsētā ir stabili demogrāfiskie rādītāji.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 Nepamatoti Bauskas pilsētai ir noteikta 2.grupa, pielīdzinot valstspilsētām. Ir jānosaka 3.grupa.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Bauskas pilsētā ir </w:t>
            </w:r>
            <w:r w:rsidR="00000000" w:rsidRPr="00000000" w:rsidDel="00000000">
              <w:rPr>
                <w:b w:val="1"/>
                <w:rtl w:val="0"/>
              </w:rPr>
              <w:t xml:space="preserve">9709 iedzīvotāji (2025. gada dati). Iedzīvotāju blīvums ir 972,2 iedz./km2.</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Salīdzinājumam:</w:t>
            </w:r>
            <w:r w:rsidR="00000000" w:rsidRPr="00000000" w:rsidDel="00000000">
              <w:rPr>
                <w:rtl w:val="0"/>
              </w:rPr>
              <w:t xml:space="preserve"> </w:t>
            </w:r>
            <w:r w:rsidR="00000000" w:rsidRPr="00000000" w:rsidDel="00000000">
              <w:rPr>
                <w:b w:val="1"/>
                <w:rtl w:val="0"/>
              </w:rPr>
              <w:t xml:space="preserve">Kuldīgas pilsētai ir noteikta 3.grupa</w:t>
            </w:r>
            <w:r w:rsidR="00000000" w:rsidRPr="00000000" w:rsidDel="00000000">
              <w:rPr>
                <w:rtl w:val="0"/>
              </w:rPr>
              <w:t xml:space="preserve"> ar iedzīvotāju skaitu </w:t>
            </w:r>
            <w:r w:rsidR="00000000" w:rsidRPr="00000000" w:rsidDel="00000000">
              <w:rPr>
                <w:b w:val="1"/>
                <w:rtl w:val="0"/>
              </w:rPr>
              <w:t xml:space="preserve">9863 (2025.gada dati), iedzīvotāju blīvums blīvums 789,0 iedz./km</w:t>
            </w:r>
            <w:r w:rsidR="00000000" w:rsidRPr="00000000" w:rsidDel="00000000">
              <w:rPr>
                <w:b w:val="1"/>
                <w:vertAlign w:val="superscript"/>
                <w:rtl w:val="0"/>
              </w:rPr>
              <w:t xml:space="preserve">2, </w:t>
            </w:r>
            <w:r w:rsidR="00000000" w:rsidRPr="00000000" w:rsidDel="00000000">
              <w:rPr>
                <w:b w:val="1"/>
                <w:rtl w:val="0"/>
              </w:rPr>
              <w:t xml:space="preserve">kas ir atbilstoši noteikts. </w:t>
            </w:r>
            <w:r w:rsidR="00000000" w:rsidRPr="00000000" w:rsidDel="00000000">
              <w:rPr>
                <w:rtl w:val="0"/>
              </w:rPr>
              <w:t xml:space="preserve">Ar ko atšķiras Aizkraukle, Saldus un Bauska?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Ināra Dundure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Kvantitatīvie rādītāji izglītības iestādes klašu grupām un pieļaujamā izglītojamo skaita svārstība no noteiktā kvantitatīvā rādītāja klašu grupā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Pašvaldību savienība ierosina noteikumu projekta 3. pielikumā veikt šādu grozījumu: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w:t>
            </w:r>
            <w:r w:rsidR="00000000" w:rsidRPr="00000000" w:rsidDel="00000000">
              <w:rPr>
                <w:b w:val="1"/>
                <w:rtl w:val="0"/>
              </w:rPr>
              <w:t xml:space="preserve">3..DEGURBA  pašvaldībām vidusskolas posmā (10.-12.klases), kā pamata normu  pieļaujamo skolēnu skaitu noteikt 90.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Viens no būtiskākajiem ilgtspējīgas atalgojuma sistēmas priekšnosacījumiem ir prognozējams skolēnu skaits, kas ļauj plānot nepieciešamo pedagogu slodzi, mācību priekšmetu piedāvājumu un finansējumu vairākiem gadiem uz priekšu. Jāņem vērā, ka iedzīvotāju mobilitāte līdz ar to arī skolēnu notiek lielo pilsētu virzienā. Demogrāfijas prognozes liecina, ka iedzīvotāju skaits tai skaitā arī skolēnu skaits saruks arī novadu centros. Ir jānodrošina pietiekama un ilgtspējīga vidusskolas programmu pieejamība.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Jau šobrīd Saldus vidusskola nesasniedz noteikto skolēnu skaitu vidusskolas posmā 120, faktiskais skolēnu skaits ir 112 skolēni. Kritiska situācija ir arī citos novadu centros.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2.Atbalstāmm pārejas periodu,</w:t>
            </w:r>
            <w:r w:rsidR="00000000" w:rsidRPr="00000000" w:rsidDel="00000000">
              <w:rPr>
                <w:rtl w:val="0"/>
              </w:rPr>
              <w:t xml:space="preserve"> nosakot mazāku skolēnu skaitu 10.–12. klašu grupā -  nodrošina vismaz 15 izglītojamos, tad 2026./2027. mācību gadā valsts, ievērojot šo noteikumu 9. punktu, piedalās pašvaldības, valsts augstskolas un privātās izglītības iestādes nodarbināto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Ināra Dundure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26-TA-1902</w:t>
    </w:r>
    <w:r>
      <w:br/>
    </w:r>
    <w:r w:rsidR="00000000" w:rsidRPr="00000000" w:rsidDel="00000000">
      <w:rPr>
        <w:rtl w:val="0"/>
      </w:rPr>
      <w:t xml:space="preserve">Izdrukāts 13.08.2026. 18.51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26-TA-1902</w:t>
    </w:r>
    <w:r>
      <w:br/>
    </w:r>
    <w:r w:rsidR="00000000" w:rsidRPr="00000000" w:rsidDel="00000000">
      <w:rPr>
        <w:rtl w:val="0"/>
      </w:rPr>
      <w:t xml:space="preserve">Izdrukāts 13.08.2026. 18.51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Atzinumi_26-TA-1902.docx</dc:title>
</cp:coreProperties>
</file>

<file path=docProps/custom.xml><?xml version="1.0" encoding="utf-8"?>
<Properties xmlns="http://schemas.openxmlformats.org/officeDocument/2006/custom-properties" xmlns:vt="http://schemas.openxmlformats.org/officeDocument/2006/docPropsVTypes"/>
</file>