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ESTO LV 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ESTO LV AS, iepazīstoties ar Finanšu ministrijas sagatavoto informatīvā ziņojuma projektu “Par vienotas kreditētāju uzraudzības un kontroles institūcijas noteikšanu” </w:t>
            </w:r>
            <w:r w:rsidR="00000000" w:rsidRPr="00000000" w:rsidDel="00000000">
              <w:rPr>
                <w:b w:val="1"/>
                <w:rtl w:val="0"/>
              </w:rPr>
              <w:t xml:space="preserve">aicina minēto informatīvo ziņojumu tālāk </w:t>
            </w:r>
            <w:r w:rsidR="00000000" w:rsidRPr="00000000" w:rsidDel="00000000">
              <w:rPr>
                <w:b w:val="1"/>
                <w:u w:val="single"/>
                <w:rtl w:val="0"/>
              </w:rPr>
              <w:t xml:space="preserve">nevirzīt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nodošana publiskajai apspriešanai 2025. gada 23. decembrī, un nosakot saskaņošanas termiņu līdz 2026. gada 5. janvārim (2 darba dienas) neatbilst labas likumdošanas principam, kas izriet no Satversmes tiesas judikatūras, kā arī no Valsts pārvaldes iekārtas likuma 10. panta, kas paredz sabiedrības līdzdalību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termiņa noteikšana ierobežo nozares dalībnieku iespējas pilnvērtīgi izvērtēt reformas ietekmi un rada pamatotas šaubas par valsts institūciju patiesu ieinteresētību jēgpilnā dialogā ar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reformas neatbilstību samērīguma un proporcionalitātes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piedāvātā nebanku kreditētāju uzraudzības funkcijas nodošana Latvijas Bankai nav samērīga ar sasniedzamo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samērīguma principu valsts izvēlētajiem līdzekļiem jābūt: (a) piemērotiem mērķa sasniegšanai, (b) nepieciešamiem, proti, tādiem, kuriem nepastāv mazāk ierobežojošas alternatīvas, (c) samērīgiem šaurā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pierādīts, ka: (a) esošā uzraudzības sistēma PTAC ietvaros nespētu nodrošināt patērētāju aizsardzību, (b) Latvijas Bankas iesaiste ir vienīgais vai efektīvākais līdzeklis, (c) reformas ieguvumi atsver tās radīto administratīvo, finanšu un konkurences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netiek izpildītas samērīguma principa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tiesiskās paļāvības un uzņēmējdarbības brīvības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Nebanku kreditētāji savu darbību veic, balstoties uz spēkā esošo tiesisko regulējumu un uzraudzības modeli. Strauja un būtiska uzraudzības sistēmas maiņa, bez skaidra pārejas perioda un bez objektīva nepieciešamības pamatojuma, aizskar tiesiskās paļāvības principu un Satversmes 105. pantā ietvertās tiesības uz uzņēmējdarbības brīvību. Mazajiem un vidējiem nebanku kreditētājiem paredzamais administratīvais un finanšu slogs var objektīvi liegt iespēju turpināt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uzraudzības modeļa neatbilstību nozares riska profilam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uzraudzības pieeja ir veidota, balstoties uz banku sektora prudenciālajiem riskiem un sistēmiskās stabilitātes apsvērumiem. Nebanku kreditētāju darbība: (a) nerada sistēmiskus riskus finanšu stabilitātei, (b) veido nelielu tirgus daļu attiecībā pret IKP, (c) ir strukturāli un juridiski nodalīta no banku sektora.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pielīdzināšana banku sektoram neatbilst regulācijas mērķim un radīs nesamērīgu slogu, īpaši mazajiem tirgus dalībniekiem, tādējādi kropļojot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konkurences un patērētāju interešu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rezultātā pastāv augsts risks: (a) tirgus koncentrācijai un mazāku dalībnieku izstumšanai, (b) alternatīvu finansēšanas iespēju samazinājumam patērētājiem (</w:t>
            </w:r>
            <w:r w:rsidR="00000000" w:rsidRPr="00000000" w:rsidDel="00000000">
              <w:rPr>
                <w:i w:val="1"/>
                <w:rtl w:val="0"/>
              </w:rPr>
              <w:t xml:space="preserve">tostarp </w:t>
            </w:r>
            <w:r w:rsidR="00000000" w:rsidRPr="00000000" w:rsidDel="00000000">
              <w:rPr>
                <w:b w:val="1"/>
                <w:i w:val="1"/>
                <w:rtl w:val="0"/>
              </w:rPr>
              <w:t xml:space="preserve">preču nomaksa</w:t>
            </w:r>
            <w:r w:rsidR="00000000" w:rsidRPr="00000000" w:rsidDel="00000000">
              <w:rPr>
                <w:i w:val="1"/>
                <w:rtl w:val="0"/>
              </w:rPr>
              <w:t xml:space="preserve">, kas ir viens no pieprasītākajiem nebanku aizdevumu veidiem un kuru bankas nepiedāvā pilnībā</w:t>
            </w:r>
            <w:r w:rsidR="00000000" w:rsidRPr="00000000" w:rsidDel="00000000">
              <w:rPr>
                <w:rtl w:val="0"/>
              </w:rPr>
              <w:t xml:space="preserve">) (c) kreditēšanas pieejamības pasliktināšanos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pretrunā ar Patērētāju tiesību aizsardzības likuma mērķiem un konkurences neitralitātes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Par izmaksu–ieguvumu analīzes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ietverta detalizēta, kvantitatīvos datos balstīta izmaksu–ieguvumu analīze. Nav skaidri identificēti: (a) konkrētie ieguvumi patērētājiem, (b) reformas fiskālā ietekme, (c) alternatīvu risinājumu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šādas detalizētas analīzes informatīvais ziņojums neatbilst labas pārvaldības un tiesiskās argumentācijas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piedāvātā reforma nav balstīta ES tiesību prasībās vai starptautiski atzītā obligātā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Noslēgumā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ESTO LV AS uzskata, ka informatīvā ziņojuma projekts: (a) neatbilst samērīguma, proporcionalitātes un labas likumdošanas principiem, (b) rada nesamērīgu slogu mazajiem un vidējiem uzņēmējiem, (c) apdraud konkurenci un patērētāju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informatīvo ziņojumu tālāk </w:t>
            </w:r>
            <w:r w:rsidR="00000000" w:rsidRPr="00000000" w:rsidDel="00000000">
              <w:rPr>
                <w:b w:val="1"/>
                <w:u w:val="single"/>
                <w:rtl w:val="0"/>
              </w:rPr>
              <w:t xml:space="preserve">nevirzīt un saglabāt nebanku kreditētāju uzraudzību Patērētāju tiesību aizsardzības centra kompetencē</w:t>
            </w:r>
            <w:r w:rsidR="00000000" w:rsidRPr="00000000" w:rsidDel="00000000">
              <w:rPr>
                <w:rtl w:val="0"/>
              </w:rPr>
              <w:t xml:space="preserve">, vienlaikus nepieciešamības gadījumā pilnveidojot esošo regulējumu jēgpilnā un samērīgā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Vaivods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30.12.2025.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30.12.2025.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