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Publiskas personas kapitālsabiedrības dibināšanas, līdzdalības iegūšanas, izvērtēšanas un līdzdalības apmēra izmaiņu kārtība ir noteikta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(KP) ir iepazinusies ar Valsts kancelejas sniegto skaidrojumu saistībā ar ieceri atteikties no pienākuma publiskai personai pirms kapitālsabiedrības dibināšanas vai līdzdalības iegūšanas izdot attiecīgus Ministru kabineta noteikumus vai pašvaldību gadījumā - pašvaldību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KP piekrīt Valsts kancelejas sniegtajam viedoklim, ka Konkurences likuma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pantu piemērošana, konstatējot publiskas personas kapitālsabiedrības darbības tirgū, kas ierobežo vai deformē konkurenci, ir atzīstams par efektīvu mehānismu privāto tirgus dalībnieku interešu aizstāvībai.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KP vērš uzmanību, ka, publiskā persona, izdodot normatīvo aktu atbilstoši VPIL 88. panta trešajai vai ceturtajai daļai, rada publiskas personas rīcības plašāku pārskatāmību pret sabiedrību, cita starpā privātajiem tirgus dalībniekiem tiek radīta tiesiskā paļāvība attiecībā uz to, kas, publiskās personas vērtējumā, ir atzīstams par stratēģiski vai valsts drošībai svarīgu īpašumu, preci vai pakalpojumu, vai kurā tirgus segmentā konstatējama tirgus nepilnība un līdz ar to ir sagaidāms, ka publiskā persona iesaistīties caur savu kapitālsabiedrību. Tādējādi gan privātajiem tirgus dalībniekiem, gan (potenciālajiem) investoriem ir skaidrs un saprotams, kādos tirgus segmentos ir jārēķinās ar publiskas personas kapitālsabiedrības klātbūtni (konkurenci).  Vienlaikus pastāvošais regulējums sniedz labumu pašai publiskai personai, liekot novērtēt plānotās rīcības nepieciešamību, lietderību un samērību, kā arī jau ļauj preventīvi novērtēt konkurences neitralitātes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Ekonomiskās sadarbības un attīstības organizācija (ESAO) (angļu: Organisation for Economic Cooperation and Development (OECD) ir norādījusi, ka Latvijā valsts un pašvaldību uzņēmumi spēlē lielāku lomu nekā pārējās ESAO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KP uztur spēkā izteikto iebildumu saistībā ar ieceri grozīt šobrīd spēkā esošo VPIL 88. panta trešo un ceturto daļu. (Augstākminētais iebildums attiecināms arī uz grozījumiem VPIL 88.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KP vērš uzmanību uz to, ka Konkurences likums neparedz privātpersonām tiesības vērsties tiesā par konkurences tiesību pārkāpumu un zaudējumu atlīdzināšanu atbilstoši Civilprocesa likuma 30.</w:t>
            </w:r>
            <w:r w:rsidR="00000000" w:rsidRPr="00000000" w:rsidDel="00000000">
              <w:rPr>
                <w:vertAlign w:val="superscript"/>
                <w:rtl w:val="0"/>
              </w:rPr>
              <w:t xml:space="preserve">6</w:t>
            </w:r>
            <w:r w:rsidR="00000000" w:rsidRPr="00000000" w:rsidDel="00000000">
              <w:rPr>
                <w:rtl w:val="0"/>
              </w:rPr>
              <w:t xml:space="preserve"> nodaļai saistībā ar neatbilstību Konkurences likuma 14.</w:t>
            </w:r>
            <w:r w:rsidR="00000000" w:rsidRPr="00000000" w:rsidDel="00000000">
              <w:rPr>
                <w:vertAlign w:val="superscript"/>
                <w:rtl w:val="0"/>
              </w:rPr>
              <w:t xml:space="preserve">1</w:t>
            </w:r>
            <w:r w:rsidR="00000000" w:rsidRPr="00000000" w:rsidDel="00000000">
              <w:rPr>
                <w:rtl w:val="0"/>
              </w:rPr>
              <w:t xml:space="preserve"> pantam. Lūgums atbilstoši precizēt Izziņu.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Vitjazeva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06.02.2024.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06.02.2024.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