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25-TA-1598: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informatīvajam ziņojumam “Par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3.lp veikt tehnisku labojumu vārdā "saņemts", lietojot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saņemta  kompetentas iestādes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 informatīvajam ziņojumam “Par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2.lp nacionālā regulējuma pamatojumu papildināt ar atsauci uz likuma "Par presi un citiem masu informācijas līdzekļiem" 22. pantu, </w:t>
            </w:r>
            <w:r w:rsidR="00000000" w:rsidRPr="00000000" w:rsidDel="00000000">
              <w:rPr>
                <w:rtl w:val="0"/>
              </w:rPr>
              <w:t xml:space="preserve">kas noteic, ka tikai tiesa, ievērojot samērīgumu, var uzdot norādīt informācijas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Raugoties no žurnālistu darbību regulējošajiem normatīvajiem aktiem, arī likuma “Par presi un citiem masu informācijas līdzekļiem” 24. panta 1. punktu žurnālistam ir tiesības vākt informāciju jebkādā ar likumu neaizliegtā veidā un no jebkura ar likumu neaizliegta informācijas avota, turklāt minētā likuma 7. pants aizliedz žurnālistam publicēt personu korespondences, telefonsarunu un telegrāfisko ziņojumu saturu bez adresāta un autora vai viņu mantinieku piekrišanas. Minētā likuma 22. pants noteic, ka tikai tiesa, ievērojot samērīgumu, var uzdot masu informācijas līdzeklim norādīt informācijas avotu.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10.lp otrajā rindkopā veikt tehnisku precizējumu, papildinot ar trūkstošo vārdu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ka NEPLP būs Regulas 25. panta 3. punktā minētā valsts regulatīvā iestāde, kas uzraudzīs un katru gadu ziņos par valsts reklāmas izdevumu piešķiršanu mediju pakalpojumu sniedzējiem – masu informācijas līdzekļu īpašniekiem (dibinātājiem) un izdevējiem, par kuriem ir ierakstītas ziņas MIL reģistrā, un tiešsaistes platformu nodrošinātājiem, pamatojoties uz Regulas 6. panta 2. punktā uzskaitīto informāciju. Tiešsaistes platforma ir definēta Regulas (ES) 2022/2065 (Digitālo pakalpojumu akta) 3. panta “i” apakšpunktā. Tiešsaistes platforma ir, piemēram, sociālie tīkli vai tiešsaistes platformas, kas ļauj patērētājiem noslēgt distances līgumus ar 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Parlamenta un Padomes 2024. gada 11. aprīļa Regulas (ES) 2024/1083, ar ko izveido vienotu satvaru mediju pakalpojumiem iekšējā tirgū un groza Direktīvu 2010/13/ES (Eiropas Mediju brīvības akts), prasību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2.lp regulas būtības uzskaitījuma 5.apakšpunktā iekļauto informāciju papildināt ar Regulā noteikto, ka arī sabiedrisko mediju vadības un valdes atlaišana pirms viņu pilnvaru termiņa beigām pienācīgi pamatojama un īstenojama tikai izņēmuma kārtā, ja viņi vairs neatbilst iepriekš noteiktiem kritērijiem, paredzot šo lēmumu pārskatīt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mediju vadība un valde jāieceļ pārredzamā, atklātā un nediskriminējošā veidā, kā arī tās atlaišana pirms viņu pilnvaru termiņa beigām pienācīgi pamatojama un īstenojama tikai izņēmuma kārtā, ja viņi vairs neatbilst iepriekš noteiktiem kritērijiem,  paredzot šo lēmumu pārskatīt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25-TA-1598</w:t>
    </w:r>
    <w:r>
      <w:br/>
    </w:r>
    <w:r w:rsidR="00000000" w:rsidRPr="00000000" w:rsidDel="00000000">
      <w:rPr>
        <w:rtl w:val="0"/>
      </w:rPr>
      <w:t xml:space="preserve">Izdrukāts 15.07.2025.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25-TA-1598</w:t>
    </w:r>
    <w:r>
      <w:br/>
    </w:r>
    <w:r w:rsidR="00000000" w:rsidRPr="00000000" w:rsidDel="00000000">
      <w:rPr>
        <w:rtl w:val="0"/>
      </w:rPr>
      <w:t xml:space="preserve">Izdrukāts 15.07.2025.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Atzinumi_25-TA-1598.docx</dc:title>
</cp:coreProperties>
</file>

<file path=docProps/custom.xml><?xml version="1.0" encoding="utf-8"?>
<Properties xmlns="http://schemas.openxmlformats.org/officeDocument/2006/custom-properties" xmlns:vt="http://schemas.openxmlformats.org/officeDocument/2006/docPropsVTypes"/>
</file>