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izdalīt prioritāro projektu kvalifikācijas kritērijus, kas ir noteikti 4.3. apakšpunkta sadaļā, lai noteikumi būtu skaidrāki, jo esošajā redakcijā tikai pēc konsultācijas ar Ekonomikas ministrijas kolēģiem bija iespējams saprast, kur ir noteikti šie prioritāro projektu kvalifikācijas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būtu šo izdalījumu veikt izmantojot vārdus "prioritāro projektu kvalifikācijas kritēriji" vai līdzīgi, bet kopumā tā, lai nezustu 1.1. punktā ietvertā deleģējuma 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izmaiņu veikšana atļautu noteikumiem būt pārskatāmākiem un lietotājiem draudzīgākiem, kā arī novērstu lieku saziņu par noteikumu punktu skaidrošanu vismaz šajā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kuram ir pieejami finanšu resursi šo noteikumu 4.3.1. apakšpunktā noteiktajā apmērā investīciju projekta īstenošanai, ko apliecina attiecīgs finansējuma pieejamību pamatojošs dokuments.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valsts līmenī ir sniegt atbalstu aizsardzības industrijas projektu attīstībai, kas nodrošina piegādes drošību un stiprina Nacionālajiem bruņoto spēku spējas, tāpēc aicinām kā kritēriju pievienot papildus apakšpunktu 4.4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kas ir iesaistīts aizsardzības industrijas projektos, kas nodrošina piegādes drošību un atbilst būtiskām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Anrijs Dovbņa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07.03.2025.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07.03.2025.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