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sniegto informāciju, 2023.gadam norādot Ekonomikas ministrijas budžeta programmā 28.00.00 “Ārējās ekonomiskās politikas ieviešana” valsts budžeta līdzfinansējumam ārvalstu filmu uzņemšanai Latvijā paredzētā finansējuma apmēru, ieskaitot atbilstoši Ministru kabineta 2023.gada 8.jūnija rīkojumam Nr. 327 “Par apropriācijas palielināšanu” papildu piešķirto finansējumu, kā arī norādot plānoto finansējuma apmēru 2025.gadam. Vienlaikus jāsvītro šobrīd 6.punktā un punktā “Cita informācija” sniegtā informācija, tās vietā norādot, ka nepieciešamais finansējums tiks nodrošināts Ekonomikas ministrijas budžeta programmā 28.00.00 “Ārējās ekonomiskās politikas ieviešana” minētajam mērķim paredzētā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ar noteikumu projekta 30.punktu ir paredzēts samazināt atbalsta programmas atbalsta maksimālo intensitāti līdz 23% (atbalsta lietas Nr. SA.104678 ietvaros Eiropas Komisijai paziņotā atbalsta intensitāte ir 30%), saskaņā ar Komisijas 2004. gada 21. aprīļa Regulas (EK) Nr. 794/2004, ar ko īsteno Padomes Regulu (EK) Nr. 659/1999, ar kuru nosaka sīki izstrādātus noteikumus EK līguma 93. panta piemērošanai, 4. panta 2.daļu, par to nepieciešams informēt Eiropas Komisiju. Ievērojot minēto, lūdzam precizēt noteikumu projekta anotācijas 5. sadaļu, papildinot to ar informāciju par to, ka 20 darba dienu laikā pēc noteikumu projekta spēkā stāšanās tiks nosūtīta kopsavilkuma informācija Eiropas Komisijai par plānotajām izmaiņām (atbalsta intensitātes samazinājums). Paziņojums Eiropas Komisijai nosūtāms, izmantojot SANI 2 sistēmu, atbilstoši kārtībai, kas noteikta Ministru kabineta 2014. gada 16. decembra noteikumos Nr. 759 "Kārtība, kādā Eiropas Komisijā iesniedz atbalsta programmu un individuālo atbalsta projektu paziņojumus un kopsavilkuma informāciju, un kārtība, kādā piešķir un anulē elektroniskās sistēmas lietošanas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projekta iesnieguma iesniedzējs nevar pierādīt projekta līdzfinansējuma neitrālu vai pozitīvu ietekmi uz valsts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5.8 un 10.12.apakšpunkts paredz projekta iesniedzējam pierādāt/apliecināt projekta līdzfinansējuma neitrālo vai pozitīvo ietekmi uz valsts budžetu. Lūdzam skaidrot kādā veidā veidosies neitrāla vai pozitīva ietekme uz valsts budžetu un attiecīgi precizēt minēto apakšpunktu redakcijas, lai normas būtu nepārprotamas un skaidras.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projekta iesniegumiem, par kuriem šo noteikumu </w:t>
            </w:r>
            <w:r w:rsidR="00000000" w:rsidRPr="00000000" w:rsidDel="00000000">
              <w:rPr>
                <w:rtl w:val="0"/>
              </w:rPr>
              <w:t xml:space="preserve">18. </w:t>
            </w:r>
            <w:r w:rsidR="00000000" w:rsidRPr="00000000" w:rsidDel="00000000">
              <w:rPr>
                <w:rtl w:val="0"/>
              </w:rPr>
              <w:t xml:space="preserve">punkta</w:t>
            </w:r>
            <w:r w:rsidR="00000000" w:rsidRPr="00000000" w:rsidDel="00000000">
              <w:rPr>
                <w:rtl w:val="0"/>
              </w:rPr>
              <w:t xml:space="preserve"> kārtībā ir noslēgts līdzfinansējuma līgums, reizi gadā Ministru kabinetā tiek iesniegts rīkojums par apropriācijas palielinājumu līdzfinansējumam (turpmāk - Ministru kabineta rīkojums), tai skaitā Ministru kabineta rīkojumā iekļaujot informāciju par to, ka attiecīgā kalendārā gada ietvaros ārvalstu filmu uzņemšanas rezultātā ir palielinājušies nodokļu ieņēmumi vai tiek prognozēts nodokļu ieņēmumu palielinājums. Pamatojoties uz Ministru kabineta rīkojumu, Ministru kabinets pieņem lēmumu par apropriācijas palielinājuma apjomu līdzfinansējumam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piedāvāto noteikumu projekta 20.punkta redakciju. Norādām, ka Latvijas Investīciju un attīstības aģentūra slēgt finansējuma līgumus var tikai kārtējā gada budžetā paredzētā finansējuma ietvaros, turklāt </w:t>
            </w:r>
            <w:r w:rsidR="00000000" w:rsidRPr="00000000" w:rsidDel="00000000">
              <w:rPr>
                <w:u w:val="single"/>
                <w:rtl w:val="0"/>
              </w:rPr>
              <w:t xml:space="preserve">visas normas, kas attiecas uz valsts budžetu, ir iekļaujamas kārtējā gada valsts budžeta un budžeta ietvara likumā. </w:t>
            </w:r>
            <w:r w:rsidR="00000000" w:rsidRPr="00000000" w:rsidDel="00000000">
              <w:rPr>
                <w:rtl w:val="0"/>
              </w:rPr>
              <w:t xml:space="preserve">Papildus vēršam uzmanību, ka, piešķirot papildus līdzfinansējumu projektam, par kuru šo noteikumu 18. punkta kārtībā ir noslēgts līdzfinansējuma līgums, tiktu pārkāptas noteikumu 24.punktā noteiktās prasības par atbalsta stimulējošo ietekmi, un atbalstu šādam projektam saskaņā ar Komisijas 2014. gada 17. jūnija Regulas (ES) Nr. 651/2014, ar ko noteiktas atbalsta kategorijas atzīst par saderīgām ar iekšējo tirgu, piemērojot Līguma 107. un 108. pantu, 54. pantu nedrīkst piešķirt. Ja tiktu pārkāpts stimulējošās ietekmes nosacījums, piešķirtais atbalsts uzskatāms par nelikumīgu un atgūstams atbilstoši Komercdarbības atbalsta kontroles likumā minētajam.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Līdzfinansējuma apmērs ir līdz 23 % no līdzfinansējuma līgumā norādīto attiecināmo izdevumu kopsummas. Līdzfinansējuma apmērs nedrīkst pārsniegt projekta īstenošanas rezultātā dokumentāli pierādāmo nomaksāto nodokļu summu. Aģentūrai ir tiesības samazināt līdzfinansējuma apmēru par apjomu, kas nav dokumentāli pierādāms ar nomaksāto nodokļu 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30.punkts paredz, ka līdzfinansējuma apmērs nedrīkst pārsniegt projekta īstenošanas rezultātā dokumentāli pierādāmo nomaksāto nodokļu summu. Lūdzam anotācijā skaidrot kādus nomaksātos nodokļus ir plānots ņemt vērā, vienlaikus atzīmējam, ka tajos nevar būt iedzīvotāju ienākuma nodoklis, kura lielākā daļa tiek ieskaitīta pašvaldību budžetos, kā arī valsts sociālās apdrošināšanas obligātās iemaksas, kas tiek ieskaitītas valsts speciālajā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 dokumentus, kas apliecina, ka uz iesnieguma iesniedzēju neattiecas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paredzot, ka projekta iesniedzējs iesniedz apliecinājumu par atbilstību Komisijas regulas Nr. 651/2014 2.panta 18. c) punktā minētajam nosacījumam “vai tas atbilst normatīvajos aktos noteiktajiem kritērijiem, lai tam pēc kreditoru pieprasījuma pieprasītu maksātnespējas procedūru”, ņemot vēra, ka nacionāli šī prasība tiek pārbaudīta, balstoties uz atbalsta pretendenta iesniegtu apliecinājumu.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Ja tiek pārkāptas šajos noteikumos noteiktās komercdarbības atbalsta kontroles normas, tai skaitā nosacījumi, kas izriet no regulas </w:t>
            </w:r>
            <w:r w:rsidR="00000000" w:rsidRPr="00000000" w:rsidDel="00000000">
              <w:rPr>
                <w:rtl w:val="0"/>
              </w:rPr>
              <w:t xml:space="preserve">Nr. 651/2014</w:t>
            </w:r>
            <w:r w:rsidR="00000000" w:rsidRPr="00000000" w:rsidDel="00000000">
              <w:rPr>
                <w:rtl w:val="0"/>
              </w:rPr>
              <w:t xml:space="preserve">, līdzfinansējuma saņēmējam ir pienākums atmaksāt aģentūrai projekta ietvaros saņemto nelikumīgo komercdarbības atbalstu kopā ar procentiem no līdzekļiem, kas ir brīvi no komercdarbības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tiesu judikatūrai atbilstošu pienākumu atgūt nelikumīgo komercdarbības atbalstu, aicinām noteikumu projekta 33. punktu izteikt,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regulas Nr. 651/2014 nosacījumi, līdzfinansējuma saņēmējam ir pienākums atmaksāt aģentūrai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03.10.2023.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03.10.2023.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