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norāda, ka, ņemot vērā projektā paredzēto Sodu reģistra apakšsistēmu datu migrāciju, kā arī to, ka VDAA projekta “Vienotā datu koplietošanas platforma publiskā sektora un tautsaimniecības datu koplietošanai nacionāli un Eiropas datu telpas ietvaros, t. sk. ieviešot risinājumus datu depersonalizācijai, kā arī personas pārvaldītai un kontrolētai datu koplietošanai (DAGR)” ietvaros jau ir īstenota Sodu reģistra funkcionālā pārbūve un nodrošināta tā integrācija ar DAGR platformu, nav pamatota paralēlu vai tiešu integrāciju ar Sodu reģistru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Sodu reģistra datu izgūšana nodrošināma caur DAGR platformu kā vienoto un jau ieviesto datu koplietošanas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uz nepieciešamību pārskatīt projekta pases 3.3. sadaļu, ņemot vērā, ka tajā ir atzīmēti </w:t>
            </w:r>
            <w:r w:rsidR="00000000" w:rsidRPr="00000000" w:rsidDel="00000000">
              <w:rPr>
                <w:b w:val="1"/>
                <w:rtl w:val="0"/>
              </w:rPr>
              <w:t xml:space="preserve">četri projekta galvenie lietderības aspekti,</w:t>
            </w:r>
            <w:r w:rsidR="00000000" w:rsidRPr="00000000" w:rsidDel="00000000">
              <w:rPr>
                <w:rtl w:val="0"/>
              </w:rPr>
              <w:t xml:space="preserve"> savukārt projekta ieguvumu un lietderības rādītāji (KPI) ir noteikti tikai trim no tiem, kā arī nodrošināt katra atzīmētā lietderības aspekta sasaisti ar konkrētu un izmērāmu projekta ieguvumu un lietderības rādītāja raksturojumu (KPI).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3.3.1. apakšpunktā norādītais projekta ieguvums administratīvā sloga samazinājums un izmaksu ietaupījums fiziskām un juridiskām personām ir noteikts finansiālā izteiksmē un balstīts uz projekta 6. sadaļā “Izmaksu un ieguvumu analīze” ietvertajiem aprēķiniem. Atbilstoši projekta pases aizpildīšanas metodikai šādi aprēķini izmantojami izmaksu un ieguvumu analīzes pamatojumam, savukārt projekta 3.3. sadaļā norādāma konkrētu lietderības aspektu sasniegšana ar skaidri nodalītiem un izmērāmiem projekta ieguvumu rādītājiem (KPI).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3.3.3. apakšpunktā norādītais KPI resursu un IKT risinājumu konsolidācija šobrīd neataino sasniedzamo lietderības ieguvumu, jo konsolidācijas </w:t>
            </w:r>
            <w:r w:rsidR="00000000" w:rsidRPr="00000000" w:rsidDel="00000000">
              <w:rPr>
                <w:b w:val="1"/>
                <w:rtl w:val="0"/>
              </w:rPr>
              <w:t xml:space="preserve">esošā vērtība ir noteikta kā 0,</w:t>
            </w:r>
            <w:r w:rsidR="00000000" w:rsidRPr="00000000" w:rsidDel="00000000">
              <w:rPr>
                <w:rtl w:val="0"/>
              </w:rPr>
              <w:t xml:space="preserve"> bet </w:t>
            </w:r>
            <w:r w:rsidR="00000000" w:rsidRPr="00000000" w:rsidDel="00000000">
              <w:rPr>
                <w:b w:val="1"/>
                <w:rtl w:val="0"/>
              </w:rPr>
              <w:t xml:space="preserve">plānotā vērtība – 4 konsolidēti IKT risinājumi.</w:t>
            </w:r>
            <w:r w:rsidR="00000000" w:rsidRPr="00000000" w:rsidDel="00000000">
              <w:rPr>
                <w:rtl w:val="0"/>
              </w:rPr>
              <w:t xml:space="preserve"> Atbilstoši projekta pases aizpildīšanas metodikai KPI ir jāatspoguļo projekta radītais ieguvums un pārmaiņa, tādēļ konsolidācijas gadījumā nepieciešams norādīt konsolidējamo risinājumu skaitu pirms projekta īstenošanas, plānoto rezultātu pēc projekta īstenošanas un no tā izrietošo lietderību. https://www.varam.gov.lv/lv/media/48563/download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pases 3.4.3. punktā minētā e‑pakalpojuma plānoto izvietojuma vidi un pieejamību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projekta pases 5.1.1. apakšpunktā minētie lietotāji </w:t>
            </w:r>
            <w:r w:rsidR="00000000" w:rsidRPr="00000000" w:rsidDel="00000000">
              <w:rPr>
                <w:b w:val="1"/>
                <w:rtl w:val="0"/>
              </w:rPr>
              <w:t xml:space="preserve">tiek ieskaitīti </w:t>
            </w:r>
            <w:r w:rsidR="00000000" w:rsidRPr="00000000" w:rsidDel="00000000">
              <w:rPr>
                <w:rtl w:val="0"/>
              </w:rPr>
              <w:t xml:space="preserve">ERAF 1.3.1.1. pasākuma rezultāta rādītājā “Jaunu un modernizētu publisko digitālo pakalpojumu, produktu un procesu lietotāji”, kas ir jāsasniedz ne vēlāk kā otrajā kalendāra gadā pēc projekta noslēguma maksājuma veikšanas, bet ne vēlāk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rādītājs ir uzskatāms par sasniegtu, ja saimnieciskās darbības veicēji vai iestādes projekta īstenošanas rezultātā </w:t>
            </w:r>
            <w:r w:rsidR="00000000" w:rsidRPr="00000000" w:rsidDel="00000000">
              <w:rPr>
                <w:b w:val="1"/>
                <w:rtl w:val="0"/>
              </w:rPr>
              <w:t xml:space="preserve">ir transformējušas savus procesus,</w:t>
            </w:r>
            <w:r w:rsidR="00000000" w:rsidRPr="00000000" w:rsidDel="00000000">
              <w:rPr>
                <w:rtl w:val="0"/>
              </w:rPr>
              <w:t xml:space="preserve"> balstoties uz digitalizētajiem jaunizveidotajiem vai ievērojami uzlabotajiem valsts procesiem, tostarp kā datu izmantotāji vai datu devēji, kā arī izstrādājot savus digitālos produktus, pamatojoties uz valsts pārvaldes risinājumiem vai integrējoties ar valsts platformām un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projekta pases 5.1. sadaļas 5.1.1. punktu </w:t>
            </w:r>
            <w:r w:rsidR="00000000" w:rsidRPr="00000000" w:rsidDel="00000000">
              <w:rPr>
                <w:b w:val="1"/>
                <w:rtl w:val="0"/>
              </w:rPr>
              <w:t xml:space="preserve">ar atsauci (*)</w:t>
            </w:r>
            <w:r w:rsidR="00000000" w:rsidRPr="00000000" w:rsidDel="00000000">
              <w:rPr>
                <w:rtl w:val="0"/>
              </w:rPr>
              <w:t xml:space="preserve">, ka projekta finansējums tiek ieskaitīts ERAF 1.3.1.1. pasākuma iznākuma rādītāja “saimnieciskās darbības veicējiem izstrādāto digitālo pakalpojumu, produktu un procesu vērtība” sasniegšanā, kā arī</w:t>
            </w:r>
            <w:r w:rsidR="00000000" w:rsidRPr="00000000" w:rsidDel="00000000">
              <w:rPr>
                <w:b w:val="1"/>
                <w:rtl w:val="0"/>
              </w:rPr>
              <w:t xml:space="preserve"> ar atsauci (**)</w:t>
            </w:r>
            <w:r w:rsidR="00000000" w:rsidRPr="00000000" w:rsidDel="00000000">
              <w:rPr>
                <w:rtl w:val="0"/>
              </w:rPr>
              <w:t xml:space="preserve">, ka projekta pases 5.1.1. punktā minētie lietotāji tiek ieskaitīti 1.3.1.1. pasākuma rezultāta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5.3. sadaļā iekļaut norādi par uz Ministru kabineta lēmumu, ar kuru noteikts, ka Iekšlietu ministrijas Informācijas centrs sniedz norādīto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šāds lēmums nav pieņemts, lūdzam pievienot MK rīkojuma projektam centralizētās funkcijas vai koplietošanas pakalpojumu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un  precizēt pakalpojuma “Kriminālprocesa informācijas un dokumentu aprites koplietošanas pakalpojums”  nosaukumu, nodrošinot tā atbilstību pakalpojuma būtībai. Aicinām izmantot VARAM tīmekļvietnē publicētās vadlīnijas pakalpojuma nosaukuma veidošanai https://www.varam.gov.lv/lv/biezak-uzdotie-jautajumi-0#ka-pareizi-veidot-pakalpojuma-nosaukumu.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17.04.2026. 23.37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17.04.2026. 23.37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