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22-TA-2941: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1.2. reformu un investīciju virziena “Energoefektivitātes uzlabošana” 1.2.1.4.i. investīcijas “Energoefektivitātes uzlabošana valsts sektora ēkās, t.sk. vēsturiskajās ēkās”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Kopējais attiecināmais finansējums investīcijai ir 28 986 760 euro, tai skaitā Atveseļošanas fonda finansējums ir 23 956 000 </w:t>
            </w:r>
            <w:r w:rsidR="00000000" w:rsidRPr="00000000" w:rsidDel="00000000">
              <w:rPr>
                <w:i w:val="1"/>
                <w:rtl w:val="0"/>
              </w:rPr>
              <w:t xml:space="preserve">euro </w:t>
            </w:r>
            <w:r w:rsidR="00000000" w:rsidRPr="00000000" w:rsidDel="00000000">
              <w:rPr>
                <w:rtl w:val="0"/>
              </w:rPr>
              <w:t xml:space="preserve">un valsts budžeta finansējums pievienotās vērtības nodokļa (turpmāk – PVN) segšanai – ne vairāk kā 5 030 760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PVN apmērs 5 030 760 euro ir rēķināts no kopējā Atveseļošanas fonda finansējuma 23 956 000 euro apmērā. Ņemot vērā, ka 1.2.1.4.i. investīcijas "Energoefektivitātes uzlabošana valsts sektora ēkās, t.sk. vēsturiskajās ēkās" ietvaros projekta attiecināmās izmaksas ir arī projekta vadības izmaksas, kas nepārsniedz 5 % no projekta kopējām attiecināmajām izmaksām, lūdzam pārskatīt MK noteikumu 7.punktu un samazināt no valsts budžeta līdzekļiem sedzamo PVN apmēru, attiecīgus precizējums veicot MK protokollēmuma projektā un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Projekta iesniegumā ietver: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izskatīt iespēju MK noteikumu projektā skaidri noteikt, kurā brīdī EM un KM izvērtēšanai ir jāiesniedz izstrādātais ēkas energosertifikāts ar pārskatu, kurā norādītas veicamās darbības ēkas energoefektivitātes uzlabošanai un plānotais primārās enerģijas ietaupījums projektā, ja tas netiek iesniegts kopā ar projekta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noteikuma 31.1.punktā noteikts, ka projekta ietvaros veiktajām darbībām jāatbilst ēkas energosertifikātā noteiktajām.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izskatīt iespēju MK noteikumos norādīt, ka kopā ar maksājuma pieprasījumu par veiktajām darbībām ir jāiesniedz projektā iekļauto izmaksu pamatojošā dokumentācija (piem. būvdarbu līgums, izpildes akti, pieņemšanas - nodošanas akti, būvvaldes akts), lai varētu gūt pārliecību vai būvdarbu attiecināmās izmaksās nav iekļautas izmaksas, kas neatbilst MK noteikumu 32.5.punktam - būvdarbu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Ozols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21.2.1. projekta iesniedzēja apliecinājumu, ka projekta iesniegumā plānotais minimālais kopējās primārās enerģijas ietaupījums nav mazāks par šo noteikumu </w:t>
            </w:r>
            <w:r w:rsidR="00000000" w:rsidRPr="00000000" w:rsidDel="00000000">
              <w:rPr>
                <w:rtl w:val="0"/>
              </w:rPr>
              <w:t xml:space="preserve">​</w:t>
            </w:r>
            <w:r w:rsidR="00000000" w:rsidRPr="00000000" w:rsidDel="00000000">
              <w:rPr>
                <w:rtl w:val="0"/>
              </w:rPr>
              <w:t xml:space="preserve">1. pielikumā</w:t>
            </w:r>
            <w:r w:rsidR="00000000" w:rsidRPr="00000000" w:rsidDel="00000000">
              <w:rPr>
                <w:rtl w:val="0"/>
              </w:rPr>
              <w:t xml:space="preserve"> norādīto;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izskatīt iespēju MK noteikumu 1.pielikumu papildināt ar papildus kolonnu un norādīt katram projektam plānoto minimālo kopējo primārās enerģijas ietaupījumu MWh/gadā, jo šobrīd ietaupījums ir izteikts tikai procentos. Pretējā gadījumā nav skaidrs, kāds ietaupījums plānojas katrā projektā, un vai pa visiem projektiem tiks sasniegs MK noteikumu 5.2.2. un 5.3.2.punktā noteiktie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Ozols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21.2.2. projekta iesniedzēja apliecinājumu, ka projekta iesniegumā norādītā avansa summa nav lielāka par 10 % no paredzamās būvdarbu līguma summas (ar PVN), kā norādīts šo noteikumu </w:t>
            </w:r>
            <w:r w:rsidR="00000000" w:rsidRPr="00000000" w:rsidDel="00000000">
              <w:rPr>
                <w:rtl w:val="0"/>
              </w:rPr>
              <w:t xml:space="preserve">​</w:t>
            </w:r>
            <w:r w:rsidR="00000000" w:rsidRPr="00000000" w:rsidDel="00000000">
              <w:rPr>
                <w:rtl w:val="0"/>
              </w:rPr>
              <w:t xml:space="preserve">1. pielikumā</w:t>
            </w:r>
            <w:r w:rsidR="00000000" w:rsidRPr="00000000" w:rsidDel="00000000">
              <w:rPr>
                <w:rtl w:val="0"/>
              </w:rPr>
              <w:t xml:space="preserve"> , un to paredzēts izlietot atbilstoši šo noteikumu </w:t>
            </w:r>
            <w:r w:rsidR="00000000" w:rsidRPr="00000000" w:rsidDel="00000000">
              <w:rPr>
                <w:rtl w:val="0"/>
              </w:rPr>
              <w:t xml:space="preserve">32.1.</w:t>
            </w:r>
            <w:r w:rsidR="00000000" w:rsidRPr="00000000" w:rsidDel="00000000">
              <w:rPr>
                <w:rtl w:val="0"/>
              </w:rPr>
              <w:t xml:space="preserve"> un </w:t>
            </w:r>
            <w:r w:rsidR="00000000" w:rsidRPr="00000000" w:rsidDel="00000000">
              <w:rPr>
                <w:rtl w:val="0"/>
              </w:rPr>
              <w:t xml:space="preserve">32.2. </w:t>
            </w:r>
            <w:r w:rsidR="00000000" w:rsidRPr="00000000" w:rsidDel="00000000">
              <w:rPr>
                <w:rtl w:val="0"/>
              </w:rPr>
              <w:t xml:space="preserve">apakšpunktā</w:t>
            </w:r>
            <w:r w:rsidR="00000000" w:rsidRPr="00000000" w:rsidDel="00000000">
              <w:rPr>
                <w:rtl w:val="0"/>
              </w:rPr>
              <w:t xml:space="preserve">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izskatīt iespēju MK noteikumu 1.pielikumu papildināt ar papildus kolonnu un norādīt katram projektam paredzamo būvdarbu līguma summu (ar PVN).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Ozols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Vērtēšanas komisiju vada nozares ministrijas pārstāvis. Vērtēšanas komisijā tiek iekļauti pārstāvji no nozares ministrijas, Kultūras ministrijas un Centrālās finanšu un līgumu aģentūras (turpmāk – CFLA). Vērtēšanas procesa administrēšanu nodrošina nozares ministrija.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dzēšot informāciju par CFLA, jo AF ietvaros, kad tiek plānota ierobežota projektu iesniegumu atlase, CFLA neiesaistās projektu atlases posmā.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30.7.1. projekta īstenošana, pēc piešķirtā 10 % avansa izlietojuma un tehniskās dokumentācijas sagatavošanas, var tikt turpināta tikai pēc atzinuma saņemšanas no nozares ministrijas, Kultūras ministrijas un CFLA, savukārt šo noteikumu </w:t>
            </w:r>
            <w:r w:rsidR="00000000" w:rsidRPr="00000000" w:rsidDel="00000000">
              <w:rPr>
                <w:rtl w:val="0"/>
              </w:rPr>
              <w:t xml:space="preserve">​</w:t>
            </w:r>
            <w:r w:rsidR="00000000" w:rsidRPr="00000000" w:rsidDel="00000000">
              <w:rPr>
                <w:rtl w:val="0"/>
              </w:rPr>
              <w:t xml:space="preserve">1. pielikumā</w:t>
            </w:r>
            <w:r w:rsidR="00000000" w:rsidRPr="00000000" w:rsidDel="00000000">
              <w:rPr>
                <w:rtl w:val="0"/>
              </w:rPr>
              <w:t xml:space="preserve"> minētā projekta iesniedzēja VSIA “Latvijas Nacionālā opera un balets” projekta iesniegumu ar projekta īstenošanas adresi Aspazijas bulvāris 3, Rīga un projekta iesniedzēja Valsts akciju sabiedrība "Valsts nekustamie īpašumi" projekta iesniegumu ar projekta īstenošanas adresi Amatu iela 6, Rīga  izvērtēšana tiek veikta, tikko iesniegta tehniskā dokumentācija CFLA;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dzēšot informāciju par CFLA, jo CFLA šādus atzinumus nesniedz.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 CFLA drīkst atļaut projektu turpināt tikai pēc nozares ministrijas (EM) un Kultūras ministrijas atzinumu saņemšanas. Attiecīgi lūdzam precizēt arī 30.7.2., 30.7.3. apakšpunktus un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Ozols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Finansējuma saņēmējs, kas ir tiešās pārvaldes iestāde, normatīvajos tiesību aktos finansējuma piešķiršanas jomā paredzētā kārtībā var saņemt priekšfinansējumu projekta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salāgot MK noteikumu projekta 48.punktā un 1.pielikumā norādīto terminoloģiju attiecībā uz priekšfinansējumu un avansu, ņemot vērā, ka daļai projektu īstenotāju ir plānots piešķirt priekšfinansējumu, bet daļai veikt avansa maksājumus. Vienlaikus vēršam uzmanību, ka MK noteikumu projekta 49.punkts paredz, ka avanss 10% apmērā tehniskās dokumentācijas izstrādei plānots tikai tiem projekta iesniedzējiem, kas nav tiešās pārvaldes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Zvirgzdiņa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Ekonomikas ministrijas piedāvāto risinājumu attiecībā uz sākotnējo avansa piešķiršanu 10% apmērā tehniskās dokumentācijas izstrādei, lūdzam papildināt anotāciju ar skaidrojumu un plānoto rīcību attiecībā uz projektiem, kuriem pēc tehniskās dokumentācijas izstrādes varētu netikt piešķirts finansējums projekta tālākai īstenošanai, t.sk. kā tiks nodrošināta rādītāju sasniegšana, ņemot vērā, ka projektu izmaksas un primārās enerģijas ietaupījuma apmēru varēs novērtēt vien pēc tehniskās dokumentācijas izstrādes, kā arī kādā veidā tiks nodrošināts, ka, izstrādājot tehnisko dokumentāciju, kam iespējami nemaz nesekos projekta īstenošana, tiks novērsts risks par publisko finanšu līdzekļu izšķērdēšanu, t.sk. atbilstoši Publiskas personas finanšu līdzekļu un mantas izšķērdēšanas novēršanas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Zvirgzdiņa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iekļaut pamatojumu PVN izdevumu segšanai no valsts budžeta visiem finansējuma saņēmējiem, kas ir minēti MK noteikumu projektā 1.pielikumā, kā arī skaidrojumu vai PVN izdevumu segšanai  netiks atgūts no valsts budžeta priekšnodokļa 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"Dokumentācijas uzglabāšana un komercdarbības atbalsta izslēdzošo nosacījumu ievērošana" noteikts, ka finansējuma saņēmējs, projekta īstenošanas partneris un nozares ministrija, un CFLA  nodrošina projekta dokumentācijas uzglabāšanu un  informācijas pieejamību piecus gadus pēc pēdējā maksājuma dalībvalstij jeb līdz 2031. gada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ka finansējuma saņēmējs, projekta īstenošanas partneris un nozares ministrija, un CFLA  nodrošina projekta dokumentācijas uzglabāšanu un  informācijas pieejamību visā projekta dzīves cikla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Ozols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13.01.2023. iebildumu saistībā ar noteikumu projekta 54.2. apakšpunktā ietverto nosacījumu, kas jaunajā redakcijā nosaka, ka "</w:t>
            </w:r>
            <w:r w:rsidR="00000000" w:rsidRPr="00000000" w:rsidDel="00000000">
              <w:rPr>
                <w:i w:val="1"/>
                <w:rtl w:val="0"/>
              </w:rPr>
              <w:t xml:space="preserve">Finansējumu šo noteikumu 31. punktā minēto atbalstāmo darbību īstenošanai, paredzot energoefektivitātes uzlabošanas pasākumus ēkās, kuras paredzēts ekspluatēt atbilstoši kultūras funkcijai, finansējuma saņēmējam piešķir, ja izpildās viens no nosacījumiem: ēkā ne mazāk kā 80 % gadījumu ir paredzēta kultūras pakalpojumu sniegšana Latvijas Republikas teritorijā esošajiem pakalpojuma lietotājiem un nav sagaidāma ietekme uz tirdzniecību un konkurenci Eiropas Savienības iekšējā tirgū</w:t>
            </w:r>
            <w:r w:rsidR="00000000" w:rsidRPr="00000000" w:rsidDel="00000000">
              <w:rPr>
                <w:rtl w:val="0"/>
              </w:rPr>
              <w:t xml:space="preserve">." Vēršam uzmanību, ka joprojām nav skaidrs, kā tiek plānos pārbaudīt prasības par ietekmes uz tirdzniecību un konkurenci Eiropas Savienības iekšējā tirgū neesamību. Lūdzam attiecīgi papildināt anotāciju ar nepieciešamo skaidrojumu, kā arī izvērtēt nepieciešamību precizēt noteikumu projekta 54.2.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2021.gada 7.septembra noteikumu Nr.617 “Tiesību akta projekta sākotnējās ietekmes izvērtēšanas kārtība” 14.punktā noteikto, izstrādājot sākotnējās ietekmes novērtējumu (anotāciju), ir jāizvērtē arī normatīvā akta ietekme uz tautsaimniecību. Attiecīgi lūdzam papildināt anotācijas 2.sadaļas “Tiesiskā regulējuma ietekme uz tautsaimniecību” 2.2.apakšadaļu “Tiesiskā regulējuma ietekme uz tautsaimniecību” ar informāciju par investīcijas ietekmi  uz tautsaimniecību, norādot pēc iespējas izmērāmus rādītājus, kā arī novērtējot konkrētus aspektus par plānoto ieguldījumu sagaidāmo ietekmi un efektivitāti, t.sk. faktiski sagaidāmos rezultātus pēc investīciju īstenošanas. Investīciju pienesumu tautsaimniecībai atspoguļo, piemēram, izmērāma ietekme uz makroekonomisko vidi, pienesums ekonomikas transformācijai, nozaru konkurētspējai, uzņēmējdarbības videi, nodarbinātībai, kā arī ietekme uz nozaru politikas mērķiem, Latvijas Nacionālajā attīstības plāna 2021.–2027.gadam noteiktajiem mērķiem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Zvirgzdiņa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iekļaut aprēķinu, kas pamato PVN izmaksu segšanai nepieciešamo valsts budžeta finansējuma apmēru. Vienlaikus PVN izmaksu segšanai nepieciešamo finansējumu pa gadiem lūdzam atspoguļot 3., 3.1., 5. un 5.1.punktā, svītrojot 4.punktā norādītos kompensējošos izdevumus.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1.2. reformu un investīciju virziena “Energoefektivitātes uzlabošana” 1.2.1.4.i. investīcijas “Energoefektivitātes uzlabošana valsts sektora ēkās, t.sk. vēsturiskajās ēkās”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1.2.1.4.i. investīcija Atveseļošanas fonda plānā ir identificēta kā stratēģiski svarīgs projekts, kuram jānodrošina pastiprināti komunikācijas pasākumi, lūdzam papildināt noteikumu projektu, norādot paredzētos specifiskos komunikācijas pasākumus.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projekta iesniedzējs – tiešās pārvaldes iestāde vai privāto tiesību juridiska persona, kura pārvalda un apsaimnieko valsts nekustamos īpašumus vai ēku (ēku grupu), un kura iekļauta šo noteikumu </w:t>
            </w:r>
            <w:r w:rsidR="00000000" w:rsidRPr="00000000" w:rsidDel="00000000">
              <w:rPr>
                <w:rtl w:val="0"/>
              </w:rPr>
              <w:t xml:space="preserve">​</w:t>
            </w:r>
            <w:r w:rsidR="00000000" w:rsidRPr="00000000" w:rsidDel="00000000">
              <w:rPr>
                <w:rtl w:val="0"/>
              </w:rPr>
              <w:t xml:space="preserve">1. pielikumā</w:t>
            </w:r>
            <w:r w:rsidR="00000000" w:rsidRPr="00000000" w:rsidDel="00000000">
              <w:rPr>
                <w:rtl w:val="0"/>
              </w:rPr>
              <w:t xml:space="preserve">, un ēkā (ēku grupā) tiek nodrošināta kultūras funkcija;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w:t>
            </w:r>
            <w:r w:rsidR="00000000" w:rsidRPr="00000000" w:rsidDel="00000000">
              <w:rPr>
                <w:i w:val="1"/>
                <w:rtl w:val="0"/>
              </w:rPr>
              <w:t xml:space="preserve">"ēkā (ēku grupā) tiek nodrošināta kultūras funkcija"</w:t>
            </w:r>
            <w:r w:rsidR="00000000" w:rsidRPr="00000000" w:rsidDel="00000000">
              <w:rPr>
                <w:rtl w:val="0"/>
              </w:rPr>
              <w:t xml:space="preserve">, ierosinām papildināt anotāciju, norādot kā šis attiecas un saistās ar 1. pielikumā norādītajiem objektiem- Rēzeknes Mākslas un dizaina vidusskola un Profesionālās izglītības kompetences centrs “Nacionālā Mākslu vidusskola”, kas nodrošina izglītības funkciju un Latvijas Nacionālais arhīvs, kas īsteno valsts politiku dokumentu un arhīvu pārvaldības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valsts sektora ēkas – nekustamie īpašumi neatkarīgi no to piederības, kurus izmanto valsts vai pašvaldību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2.4.apakšpunktā ietverta definīcija terminam "valsts sektora ēkas", t.i. nekustamie īpašumi neatkarīgi no to piederības, kurus izmanto valsts vai pašvaldību institūcijas. No noteikumu projektam pievienotā pielikuma secināms, ka divos gadījumos nekustamo īpašumu lietotāji pēc juridiskā statusa ir kapitālsabiedrības - VSIA "Latvijas Nacionālā opera un balets" un VSIA "Latvijas Nacionālais simfoniskais orķestris", tātad minētie subjekti pēc juridiskā statusa nebūtu uzskatāmi par valsts vai pašvaldību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šīs normas attiecināšanu arī uz minētajām kapitālsabiedrībām, lūdzam precizēt MK noteikumu projekta 2.4.apakšpunktā minēto terminu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valsts sektora ēkas – nekustamie īpašumi neatkarīgi no to piederības, </w:t>
            </w:r>
            <w:r w:rsidR="00000000" w:rsidRPr="00000000" w:rsidDel="00000000">
              <w:rPr>
                <w:u w:val="single"/>
                <w:rtl w:val="0"/>
              </w:rPr>
              <w:t xml:space="preserve">kuri tiek izmantoti kultūras funkcijas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Ālmane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ēka (ēku grupa) – šo noteikumu izpratnē projekta iesniedzēja īpašumā vai arī uz normatīvā akta, līguma vai iestādes lēmuma pamata projekta iesniedzējam lietošanā vai valdījumā nodota ēka, tai skaitā ēka, kas atrodas vēsturisko ēku kompleksā (korpuss, ēkas piebūve), bet ir jaunāka par 1945.gadu. Ēku grupa ir vairākas ēkas, kuras atrodas vienā adresē vai dažādās adresēs un kurām ir kopīga enerģijas uzskaite;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projektam pievienotā pielikuma secināms, ka vairākās ēkas nekustamie īpašumi ir valsts īpašumā Finanšu ministrijas valdījumā un VAS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precizēt MK noteikumu projekta 2.5.apakšpunktu, lai tas būtu attiecināms uz šādiem gadījumiem, kad nekustamais īpašums nodots projekta iesniedzēja (VAS "Valsts nekustamie īpašumi") pārvaldīšanā (sk.piedāvāto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ēka (ēku grupa) – šo noteikumu izpratnē projekta iesniedzēja īpašumā vai arī uz normatīvā akta, līguma vai iestādes lēmuma pamata projekta iesniedzējam lietošanā,</w:t>
            </w:r>
            <w:r w:rsidR="00000000" w:rsidRPr="00000000" w:rsidDel="00000000">
              <w:rPr>
                <w:u w:val="single"/>
                <w:rtl w:val="0"/>
              </w:rPr>
              <w:t xml:space="preserve"> pārvaldīšanā</w:t>
            </w:r>
            <w:r w:rsidR="00000000" w:rsidRPr="00000000" w:rsidDel="00000000">
              <w:rPr>
                <w:rtl w:val="0"/>
              </w:rPr>
              <w:t xml:space="preserve"> vai valdījumā nodota ēka, tai skaitā ēka, kas atrodas vēsturisko ēku kompleksā (korpuss, ēkas piebūve), bet ir jaunāka par 1945.gadu. Ēku grupa ir vairākas ēkas, kuras atrodas vienā adresē vai dažādās adresēs un kurām ir kopīga enerģijas uzskaite;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Ālmane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Kopējais attiecināmais finansējums investīcijai ir 28 986 760 euro, tai skaitā Atveseļošanas fonda finansējums ir 23 956 000 </w:t>
            </w:r>
            <w:r w:rsidR="00000000" w:rsidRPr="00000000" w:rsidDel="00000000">
              <w:rPr>
                <w:i w:val="1"/>
                <w:rtl w:val="0"/>
              </w:rPr>
              <w:t xml:space="preserve">euro </w:t>
            </w:r>
            <w:r w:rsidR="00000000" w:rsidRPr="00000000" w:rsidDel="00000000">
              <w:rPr>
                <w:rtl w:val="0"/>
              </w:rPr>
              <w:t xml:space="preserve">un valsts budžeta finansējums pievienotās vērtības nodokļa (turpmāk – PVN) segšanai – ne vairāk kā 5 030 760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MK noteikumu projekta 7.punktā vārdu "attiecināmais", ņemot vērā, ka valsts budžets PVN segšanai nav kā attiecināmais finansējums. Lūdzam precizēt redakciju arī MK noteikumu projekta 12.punktā.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Investīcijas sniegšanas ietvaros atbalsta intensitāte ir līdz 100 % no projekta kopējā attiecināmā finansējuma bez PVN.</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projekta 7.punktam arī PVN ir attiecināmas izmaksas, tikai finansējams no valsts budžeta līdzekļiem. Lūgums pārformulēt, ka atveseļošanas fonda finansējuma intensitāte ir 100% no projekta kopējā attiecināmā finansējuma bez PVN. PVN finansējams no valsts budžeta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Ozols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Piešķirot finansējumu jānodrošina, ka projektu īstenošanas rezultātā vidēji investīcijas ietvaros tiek sasniegts 30 % kopējās primārās enerģijas ietaupījums ar vidēju restaurācijas, pārbūves vai atjaunošanas pamatīguma pakāpi ēkai (ēku grupai).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14.punktā noteiktais būtu jāuzrauga EM, nevis projekta iesniedzējam projekta līmenī, jo katrs projekta iesniedzējs var atbildēt tikai katrs par savu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MK noteikumu 1.pielikumā ir projekti, kuros plānotais ietaupījums ir mazāks par 30%, tas ir, 15% un 20%, līdz ar ko tajos netiks nodrošināts minētā punktā noteiktais. Lūdzam izskatīt iespēju pārcelt šo punktu no "II. Prasības projekta iesniedzējam un piesaistes nosacījumi projekta īstenošanas partnerim" uz citu sadaļu, kur minētā punkta uzraudzību veiks 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Ozols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iesniedzējs, pretendējot uz finansējumu nodrošina, ka tam ir īpašuma, valdījuma, lietošanas tiesības, ilgtermiņa nomas tiesības vismaz 10 gadus vai apbūves tiesība uz nekustamo īpašumu, tai skaitā uz zemi, kurā veic investīcijas. Īpašuma tiesības un valdījuma tiesības apliecina ieraksts zemesgrāmatā par projekta iesniedzēja īpašuma vai valdījuma tiesībām, bet lietošanas tiesības, ilgtermiņa nomas tiesības un apbūves tiesības – zemesgrāmatā reģistrētas projekta iesniedzēja ilgtermiņa nomas tiesības vismaz 10 gadus vai apbūves tiesības uz nekustamo īpašumu visu projekta īstenošanas laiku un vismaz piecus gadus pēc projekta īstenošanas pabeigšanas.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MK noteikumu projektam pievienotā pielikuma secināms, ka vairākās ēkas nekustamie īpašumi ir valsts īpašumā Finanšu ministrijas valdījumā un VAS "Valsts nekustamie īpašumi", MK noteikumu projekta 15.punktu nepieciešams precizēt, lai tas būtu attiecināms uz šādiem gadījumiem, kad nekustamais īpašums nodots projekta iesniedzēja (VAS "Valsts nekustamie īpašumi") pārvaldīšanā (sk.piedāvāto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iesniedzējs, pretendējot uz finansējumu nodrošina, ka tam ir īpašuma, valdījuma, lietošanas tiesības, ilgtermiņa nomas tiesības vismaz 10 gadus vai apbūves tiesība uz nekustamo īpašumu, tai skaitā uz zemi, kurā veic investīcijas</w:t>
            </w:r>
            <w:r w:rsidR="00000000" w:rsidRPr="00000000" w:rsidDel="00000000">
              <w:rPr>
                <w:u w:val="single"/>
                <w:rtl w:val="0"/>
              </w:rPr>
              <w:t xml:space="preserve">, vai arī nekustamais īpašums nodots tā pārvaldīšanā, ko apliecina attiecīgs līgums</w:t>
            </w:r>
            <w:r w:rsidR="00000000" w:rsidRPr="00000000" w:rsidDel="00000000">
              <w:rPr>
                <w:rtl w:val="0"/>
              </w:rPr>
              <w:t xml:space="preserve">. Īpašuma tiesības un valdījuma tiesības apliecina ieraksts zemesgrāmatā par projekta iesniedzēja īpašuma vai valdījuma tiesībām, bet lietošanas tiesības, ilgtermiņa nomas tiesības un apbūves tiesības – zemesgrāmatā reģistrētas projekta iesniedzēja ilgtermiņa nomas tiesības vismaz 10 gadus vai apbūves tiesības uz nekustamo īpašumu visu projekta īstenošanas laiku un vismaz piecus gadus pēc projekta īstenošanas pabeigšanas.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Ālmane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16.2.3. 70 % no radītājiem būvniecības (ne bīstamajiem) vai demontāžas atkritumiem nodošanu attiecīgā atkritumu veida pārstrādātājiem;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papildus noteikumu projekta 16.2.3. punktā noteiktajam demontāžas atkritumu izmantošanas veidam, tos var arī izmantot būvobjektā vai citā objektā, lūdzam izvērtēt iespēju papildināt noteikumu 16.2.3. 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16.2.3. 70 % no radītājiem būvniecības (ne bīstamajiem) vai demontāžas atkritumiem atkārtotu izmantošanu vai nodošanu attiecīgā atkritumu veida pārstrādātājiem;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Dzintars Grasmanis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ja tiek izmantota šķelda, tai jāatbilst siltumnīcefekta gāzu emisiju ietaupījumam 80 %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skaidrots, ka, ja projekta ietvaros veiks investīcijas šķeldas apkures katlā, kura jauda pārsniedz 20 MW, vai biogāzes apkures katlā, kura jauda pārsniedz 2 MW, tiks nodrošināta izmantotās biodegvielas, biomasas atbilstība Eiropas Parlamenta un Padomes Direktīvas (ES) 2018/2001 (2018. gada 11. decembris) par no atjaunojamajiem energoresursiem iegūtas enerģijas izmantošanas veicināšanu 29.pantā noteiktajiem kritērijiem un, ja tiks izmantota šķelda, tā atbildīs siltumnīcefekta gāzu emisiju ietaupījumam 80 % apmērā. Ja tiek izmantota šķelda, tai jāatbilst siltumnīcefekta gāzu emisiju ietaupījumam 80 %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skaidrojumu, lūdzam izvērtēt noteikumu projekta 16.3. apakšpunktā noteikto un papildināt ar nosacījumiem par apkures katlu kurināmo veidiem un jaudu sliekšņiem, atbilstoši piedāvātajai redakcijai.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ietvaros veicama investīcija biomasas apkures katlā, kura jauda pārsniedz 20 MW, vai biogāzes apkures katlā, kura jauda pārsniedz 2 MW, jānodrošina izmantotā biokurināmā vai biogāzes atbilstība Eiropas Parlamenta un Padomes Direktīvas (ES) 2018/2001 (2018. gada 11. decembris) par no atjaunojamajiem energoresursiem iegūtas enerģijas izmantošanas veicināšanu noteikumu 29.punktā noteiktajiem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Dzintars Grasmanis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projekta iesniedzējs nodrošina, ka deleģēto uzdevumu kultūras jomā veikšanai izmanto projekta īstenošanas partnera rīcībā esošo kustamo un nekustamo mantu un infrastruktūru;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MK noteikumu projekta 17.3.apakšpunkta piemērošanu noteikumu projekta anotācijā norādīts, ka tiek atrunāta situācija, kad, piemēram, kādā no projektiem zeme vai ēka pieder pašvaldībai, līdz ar to projekts tiek īstenots nevis uz projekta iesniedzējam piederošas zemes vai ēkā, bet gan uz pašvaldība piederošas zemes vai ēkā un provizoriski minētais varētu attiekties uz projekta iesniedzēju Rēzeknes Mākslas un dizaina vidusskola.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MK noteikumu 15.punkta secināms, ka projekta iesniedzējam ir jābūt īpašuma, valdījuma, lietošanas tiesībām vai ilgtermiņa nomas tiesībām (vismaz 10 gadus) uz attiecīgo nekustamo īpašumu, līdz ar to starp attiecīgo projekta iesniedzēju un pašvaldību būtu jābūt noslēgtam atbilstošam līgumam, tādējādi MK noteikumu projekta 17.3.apakšpunkts faktiski pārklājas ar vienu no pamatnosacījumiem, kas jāievēro projekta īstenošanā, līdz ar to lūdzam svītrot MK noteikumu projekta 17.3.apakšpunktu.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Ālmane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Projekta īstenošanas partneris projekta dzīves ciklā īsteno šādas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projekta 2.punktu ar projekta dzīves cikla terminu.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Ozols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21.2.3. projekta iesniedzēja apliecinājumu, ka avansa summa nepārsniedz 10 % no būvdarbu līguma summas;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21.2.2.punktā paredzēts iesniegt projekta iesniedzēja apliecinājumu, ka projekta iesniegumā norādītā avansa summa nav lielāka par 10 % no paredzamās būvdarbu līguma summas (ar PVN), savukārt 21.2.3. punktā noteikts, ka jāiesniedz projekta iesniedzēja apliecinājumu, ka avansa summa nepārsniedz 10 % no būvdarbu līguma summas. Lūgums izvērtēt vai šie punkti nedublējas?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Ozols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Projektu iesniegumu vērtēšanu veic atbilstoši šādiem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visus uzskaitītos vērtēšanas kritērijus, ņemot vērā informāciju un dokumentus, kas būs pieejami uz projekta iesnieguma iesniegšanas brīdi, kā arī papildināt ar izslēgšanas nosacījumu pārbaudi atbilstoši MK noteikumu 27.1. apakšpunktam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Zvirgzdiņa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22.1.3. projekta iesniegumā norādītā avansa summa nav lielāka par 10 % no paredzamās būvdarbu līguma summas (ar PVN) kā norādīts šo noteikumu 1. pielikumā un to paredzēts izlietot atbilstoši šo noteikumu </w:t>
            </w:r>
            <w:r w:rsidR="00000000" w:rsidRPr="00000000" w:rsidDel="00000000">
              <w:rPr>
                <w:rtl w:val="0"/>
              </w:rPr>
              <w:t xml:space="preserve">32.1.</w:t>
            </w:r>
            <w:r w:rsidR="00000000" w:rsidRPr="00000000" w:rsidDel="00000000">
              <w:rPr>
                <w:rtl w:val="0"/>
              </w:rPr>
              <w:t xml:space="preserve"> un </w:t>
            </w:r>
            <w:r w:rsidR="00000000" w:rsidRPr="00000000" w:rsidDel="00000000">
              <w:rPr>
                <w:rtl w:val="0"/>
              </w:rPr>
              <w:t xml:space="preserve">32.2. </w:t>
            </w:r>
            <w:r w:rsidR="00000000" w:rsidRPr="00000000" w:rsidDel="00000000">
              <w:rPr>
                <w:rtl w:val="0"/>
              </w:rPr>
              <w:t xml:space="preserve">apakšpunktā</w:t>
            </w:r>
            <w:r w:rsidR="00000000" w:rsidRPr="00000000" w:rsidDel="00000000">
              <w:rPr>
                <w:rtl w:val="0"/>
              </w:rPr>
              <w:t xml:space="preserve"> noteiktajam;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šis apakšpunkts nedublējas ar 2.2.1.4.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Pēc lēmuma pieņemšanas par iesniegtā projekta iesnieguma atbilstību vērtēšanas kritērijiem un projekta iesniedzēja neatbilstību izslēgšanas kritērijiem, kas noteikti Regulas Nr. 2018/1046 136. pantā, nozares ministrija apstiprina projekta iesniegumu vadības informācijas sistēmā un 10 darba dienu laikā elektroniski informē projekta iesniedzēju, kura projekta iesniegums ir apstiprināts ar vērtēšanas komisijas lēmumu šajos noteikumos noteiktajā kārtībā, par projekta iesnieguma apstiprināšanu, un Centrālo finanšu un līgumu aģentūru (turpmāk – CFLA), ka tā var uzsākt vienošanās vai līguma par projekta īstenošanu slēgšanas procesu.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MK noteikumu projekta 28.punktā vārdus "Centrālo finanšu un līgumu aģentūru (turpmāk – CFLA)" ar vārdu "CFLA".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30.5. avansa maksājuma piešķiršanas kārtību, nosakot, ka piešķiramā avansa summa nav lielāka par 10 % no paredzamās būvdarbu līguma summas (ar PVN) un to paredzēts izlietot atbilstoši šo noteikumu 35.1. un 35.2. apakšpunktā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minēto apakšpunktu, jo MK noteikumu projektā nav norādīto 35.1. un 35.2. punktu. Atbilstoši anotācijā norādītam lūdzam precizēt uz 32.1. un 32.2.punktiem.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Ozols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30.6. astoņpadsmit mēnešu termiņu tehniskās dokumentācijas sagatavošanai;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noteikumu projektā paredzēt papildu nacionālo rādītāju ar nosaukumu, piemēram, "T</w:t>
            </w:r>
            <w:r w:rsidR="00000000" w:rsidRPr="00000000" w:rsidDel="00000000">
              <w:rPr>
                <w:i w:val="1"/>
                <w:rtl w:val="0"/>
              </w:rPr>
              <w:t xml:space="preserve">ehniskās dokumentācijas izstrāde"</w:t>
            </w:r>
            <w:r w:rsidR="00000000" w:rsidRPr="00000000" w:rsidDel="00000000">
              <w:rPr>
                <w:rtl w:val="0"/>
              </w:rPr>
              <w:t xml:space="preserve"> ar kopējo sasniedzamo vērtību 10, atbilstoši 1. pielikumā norādītajam projektu skaitam, un konkrētu izpildes termiņu, pēc kura attiecīgi nozares ministrija un Kultūras ministrija izvērtētu visu projektu sagatavoto tehnisko dokumentāciju un sniegtu atzinumus CFLA, ar informāciju, kurus projektus drīkst turpināt īstenot.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30.7. atlikušā finansējuma piešķiršanas kārtību pēc tehniskās dokumentācijas izvērtēšanas un lēmuma par projekta apstiprināšanu pieņemšanas, nosakot, ka: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pārcelt 30.7.1., 30.7.2. un 30.7.3. apakšpunktus kā atsevišķus MK noteikumu punktus, jo tie ir projektu īstenošanas nosacījumi nevis vienošanās vai līgumā par projekta īstenošanu iekļaujamā informācija, savukārt 30.7. apakšpunktu piedāvājam izteikt, piemēram, šādā redakcijā: </w:t>
            </w:r>
            <w:r w:rsidR="00000000" w:rsidRPr="00000000" w:rsidDel="00000000">
              <w:rPr>
                <w:i w:val="1"/>
                <w:rtl w:val="0"/>
              </w:rPr>
              <w:t xml:space="preserve">"projekta īstenošanas kārtību un projekta kopējo finansējumu pēc tehniskās dokumentācijas izvērtēšanas un nozares ministrijas un Kultūras ministrijas atzinuma saņemšanas."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30.7. atlikušā finansējuma piešķiršanas kārtību pēc tehniskās dokumentācijas izvērtēšanas un lēmuma par projekta apstiprināšanu pieņemšanas, nosakot, ka: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30.7.apakšpunktā skaidrot, kas ir “atlikušais finansējums”, tai skaitā norādot kā tas veidojas.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30.7.2. projekta iesniedzēja iesniegto tehnisko dokumentāciju izvērtē nozares ministrija, Kultūras ministrija un CFLA;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projekta 30.7.2.apakšpunktu ar vārdiem "un sniedz atzinumu" aiz vārda "izvērtē". Papildus aicinām izvērtēt un noteikt termiņu kādā atzinums tiks 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Zvirgzdiņa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30.7.3. ja visu atbilstošo projektu kopējās izmaksas pārsniedz šo noteikumu ietvaros pieejamo finansējumu, tad tiek turpināta to projektu īstenošana, kuriem ir augstāks kopējās primārās enerģijas ietaupījums attiecībā pret finansējumu, izņemot šo noteikumu </w:t>
            </w:r>
            <w:r w:rsidR="00000000" w:rsidRPr="00000000" w:rsidDel="00000000">
              <w:rPr>
                <w:rtl w:val="0"/>
              </w:rPr>
              <w:t xml:space="preserve">​</w:t>
            </w:r>
            <w:r w:rsidR="00000000" w:rsidRPr="00000000" w:rsidDel="00000000">
              <w:rPr>
                <w:rtl w:val="0"/>
              </w:rPr>
              <w:t xml:space="preserve">1. pielikuma</w:t>
            </w:r>
            <w:r w:rsidR="00000000" w:rsidRPr="00000000" w:rsidDel="00000000">
              <w:rPr>
                <w:rtl w:val="0"/>
              </w:rPr>
              <w:t xml:space="preserve"> projekta iesniedzēja Valsts sabiedrības ar ierobežotu atbildību “Latvijas Nacionālā opera un balets” projekta iesniegumu ar projekta īstenošanas adresi Aspazijas bulvāris 3, Rīga un projekta iesniedzēja Valsts akciju sabiedrības "Valsts nekustamie īpašumi" projekta iesniegumu ar projekta īstenošanas adresi Amatu iela 6, Rīga, kuri tiek īstenoti kā visaugstākās gatavības projekti, negaidot pārējo projektu iesniedzēju tehniskās dokumentācijas izvērtēšanu.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cik 30.7.3.p. ir iestrādāta divpakāpju vērtēšana, lūdzam izskatīt iespēju, vai nebūtu jāparedz papildus nosacījums, ka pie 30.7.3.p. izvērtēšanas CFLA laužot noslēgto līgumu, dēļ tā ka finansējums tiek pārdalīts citam projektam, tad veiktās tehniskās izpētes izdevumi paliek attiecināmi no AF līdzekļiem. Pretējā gadījumā veidosies neatbilstība projektā un finansējuma saņēmējam būs jāveic avansa atmaksa par tehniskās dokumentācijas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vai projektiem, kas netiek finansēti tālāk, būtu jāparedz kāds rādītājs tiek sasniegts par tiem 10% no summas, un kurā brīdī uzskaitām par izpildītu. Vai arī, ja projekts netiek turpināts, tad FS viss iepriekš izmaksātais avanss būs jāatmaksā?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Ozols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32.4. projekta vadības izmaksas, kas nepārsniedz 5 % no projekta kopējām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lūdzam izskatīt iespēju paredzēt šīs izmaksas, kā vienas vienības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Ozols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32.5.6. apkures kontroles sistēma;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Nemot vērā, ka apkures sitēma ir ietverta noteikumu projekta 32.5.7. punktā, kā inženiertehniskā sistēma, savukārt, apkures kontroles sistēma ir ietverta  noteikumu projekta 32.9.apakšpunktā, lūdzam izvērtēt iespēju no noteikumu projekta dzēst 32.5.6.apakšpunktu.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Dzintars Grasmanis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32.9. ēku un inženiertehnisko sistēmu automatizētās vadības un kontroles sistēmu uzstādīšana, kuras nodrošina enerģijas patēriņa kontroli un samazinājumu, kas paredzēti ēkas energosertifikātā;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32.9.apakšpunktā minētajai ēku un inženiertehnisko sistēmu automatizētās vadības un kontroles sistēmai pirmkārt ir jānodrošina pareiza un efektīva darbība, lūdzam izvērtēt noteikumu projekta 32.9.apakšpunktu un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atbilstoši izteiktajam priekšlikumam.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un inženiertehnisko sistēmu automatizētās vadības un kontroles sistēmu uzstādīšana, kuras nodrošina sistēmu pareizu un efektīvu darbību un enerģijas patēriņa kontroli un samazinājumu;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Dzintars Grasmanis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Šo noteikumu </w:t>
            </w:r>
            <w:r w:rsidR="00000000" w:rsidRPr="00000000" w:rsidDel="00000000">
              <w:rPr>
                <w:rtl w:val="0"/>
              </w:rPr>
              <w:t xml:space="preserve">32.1.</w:t>
            </w:r>
            <w:r w:rsidR="00000000" w:rsidRPr="00000000" w:rsidDel="00000000">
              <w:rPr>
                <w:rtl w:val="0"/>
              </w:rPr>
              <w:t xml:space="preserve"> un </w:t>
            </w:r>
            <w:r w:rsidR="00000000" w:rsidRPr="00000000" w:rsidDel="00000000">
              <w:rPr>
                <w:rtl w:val="0"/>
              </w:rPr>
              <w:t xml:space="preserve">32.2.</w:t>
            </w:r>
            <w:r w:rsidR="00000000" w:rsidRPr="00000000" w:rsidDel="00000000">
              <w:rPr>
                <w:shd w:fill="#ffffff" w:val="clear"/>
                <w:rtl w:val="0"/>
              </w:rPr>
              <w:t xml:space="preserve"> </w:t>
            </w:r>
            <w:r w:rsidR="00000000" w:rsidRPr="00000000" w:rsidDel="00000000">
              <w:rPr>
                <w:rtl w:val="0"/>
              </w:rPr>
              <w:t xml:space="preserve">​</w:t>
            </w:r>
            <w:r w:rsidR="00000000" w:rsidRPr="00000000" w:rsidDel="00000000">
              <w:rPr>
                <w:rtl w:val="0"/>
              </w:rPr>
              <w:t xml:space="preserve">apakšpunktā</w:t>
            </w:r>
            <w:r w:rsidR="00000000" w:rsidRPr="00000000" w:rsidDel="00000000">
              <w:rPr>
                <w:rtl w:val="0"/>
              </w:rPr>
              <w:t xml:space="preserve"> minēto attiecināmo izmaksu kopsumma nepārsniedz 10 % no būvdarbu līguma summas. Ierobežojumu var nepiemērot, ja projekta iesniedzējs pamato, ka šīs prasības piemērošana nav iespējama.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izskatīt iespēju vai nav nepieciešams izslēgt minēto nosacījumu. Ja ar pamatojumu nav jāievēro minētā prasība, tad katrai situācijai būs kāds pamatojums. Šis varētu būt lieks ierobežojums, kur lieki sarakstīsimies ar finansējuma saņēmēju, palielinot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Ozols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Finansējuma saņēmējs līgumu par būvniecības veikšanu noslēdz ne vēlāk kā astoņpadsmit mēnešu laikā pēc vienošanās vai līguma par projekta īstenošanu ar CFLA noslēgšanas.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vai šī punkta nosacījuma izpilde ir iespējama, ņemot vērā noteikumu projekta 30.6.apakšpunktu un 30.7.apakšpunktus. Lūgums izskatīt iespēju papildināt MK noteikumus ar turpmāko rīcību, ja būvdarbu līgums nav noslēgts konkrētajā termiņā. Šis punkts iespējams varēs izpildīties tikai apvienotā projektā un būvē iepirkuma līguma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Ozols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Finansējuma saņēmējs, kas ir tiešās pārvaldes iestāde, normatīvajos tiesību aktos finansējuma piešķiršanas jomā paredzētā kārtībā var saņemt priekšfinansējumu projekta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MK noteikumu projekta 48.punktu.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Finansējuma saņēmējs, kas ir tiešās pārvaldes iestāde, normatīvajos aktos noteiktajā kārtībā var saņemt valsts budžeta  priekšfinansējumu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49.2. avansu vairākos maksājumos, ievērojot, ka nākamo avansa maksājumu var saņemt pēc tam, kas iepriekšējais apgūts pilnā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šo apakšpunktu apvienot ar iepriekšējo, jo šis nosacījums attiecas uz iepriekšējā apakšpunktā minēto 30% avansa apmēru.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Kultūras ministrija projekta dzīves ciklā uzrauga vai izpildās šo noteikumu </w:t>
            </w:r>
            <w:r w:rsidR="00000000" w:rsidRPr="00000000" w:rsidDel="00000000">
              <w:rPr>
                <w:rtl w:val="0"/>
              </w:rPr>
              <w:t xml:space="preserve">54.1. </w:t>
            </w:r>
            <w:r w:rsidR="00000000" w:rsidRPr="00000000" w:rsidDel="00000000">
              <w:rPr>
                <w:rtl w:val="0"/>
              </w:rPr>
              <w:t xml:space="preserve">apakšpunktā</w:t>
            </w:r>
            <w:r w:rsidR="00000000" w:rsidRPr="00000000" w:rsidDel="00000000">
              <w:rPr>
                <w:rtl w:val="0"/>
              </w:rPr>
              <w:t xml:space="preserve"> minētais nosacījums, ka ieņēmumi no saimnieciskās darbības konkrētajā infrastruktūrā ir mazāki par 50 % no kultūras jomas pakalpojumu sniedzēja gada budžeta.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izskatīt iespēju papildināt minēto punktu, ka Kultūras ministrija uzrauga arī 54.2. punktā noteikto, un ja tiek pārkāpts minētos punktos noteiktais, tad tiek informēts CFLA.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Ozols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noteikumu projekta 14.punktā noteikto apmēru - 30% kopējās primārās enerģijas ietaupījuma kritērijam,  minot atsauces uz ES līmeņa dokumentu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Dzintars Grasmanis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"Nosacījumi projekta iesniedzējam un finansējuma saņēmējam" noteikts "Nesasniedzot šajos noteikumos plānoto kopējās primārās enerģijas ietaupījumu, finansējums tiks uzskatīts par neattiecināmu un tiks atgūts no finansējuma saņēmēja."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plānoto kopējās primārās enerģijas ietaupījumu var ietaupīt tikai visi projekti kopā. Savukārt, katrā atsevišķā projektā plānoto primārās enerģijas ietaupījumu var ietaupīt katrs projekts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izskatīt iespēju prceizēt MK noteikumos atgūšanas apmēru, vai tas ir 100% vai proporcionāls nesasniegtam apmēram, vai vēl cits variants. Papildus aicinām izvērtēt iespēju, kāda būtu rīcība gadījumā, ja investīcijas līmenī plānotais enerģijas ietaupījums tiktu sasniegts, bet individuāli projekta līmenī nē.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Ozols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22-TA-2941</w:t>
    </w:r>
    <w:r>
      <w:br/>
    </w:r>
    <w:r w:rsidR="00000000" w:rsidRPr="00000000" w:rsidDel="00000000">
      <w:rPr>
        <w:rtl w:val="0"/>
      </w:rPr>
      <w:t xml:space="preserve">Izdrukāts 17.04.2023. 16.22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22-TA-2941</w:t>
    </w:r>
    <w:r>
      <w:br/>
    </w:r>
    <w:r w:rsidR="00000000" w:rsidRPr="00000000" w:rsidDel="00000000">
      <w:rPr>
        <w:rtl w:val="0"/>
      </w:rPr>
      <w:t xml:space="preserve">Izdrukāts 17.04.2023. 16.22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Atzinumi_22-TA-2941.docx</dc:title>
</cp:coreProperties>
</file>

<file path=docProps/custom.xml><?xml version="1.0" encoding="utf-8"?>
<Properties xmlns="http://schemas.openxmlformats.org/officeDocument/2006/custom-properties" xmlns:vt="http://schemas.openxmlformats.org/officeDocument/2006/docPropsVTypes"/>
</file>