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un prioritāri izpildāmiem pasākumiem Deklarācijas par Andra Kulberga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Valdības rīcības plāna pasākums Nr. 20.10 Izstrādāt rīcības plānu reģionālā sabiedriskā transporta nodrošināšanai </w:t>
            </w:r>
            <w:r w:rsidR="00000000" w:rsidRPr="00000000" w:rsidDel="00000000">
              <w:rPr>
                <w:i w:val="1"/>
                <w:u w:val="single"/>
                <w:rtl w:val="0"/>
              </w:rPr>
              <w:t xml:space="preserve">Darbības rezultāts:</w:t>
            </w:r>
            <w:r w:rsidR="00000000" w:rsidRPr="00000000" w:rsidDel="00000000">
              <w:rPr>
                <w:i w:val="1"/>
                <w:rtl w:val="0"/>
              </w:rPr>
              <w:t xml:space="preserve"> Izstrādāts rīcības plāns reģionālā sabiedriskā transporta nodrošināšanai, kas vērsts uz sabalansētas, pieejamas un finansiāli ilgtspējīgas sabiedriskā transporta sistēmas nodrošināšanu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Darbības rezultātu ar vārdiem: </w:t>
            </w:r>
            <w:r w:rsidR="00000000" w:rsidRPr="00000000" w:rsidDel="00000000">
              <w:rPr>
                <w:i w:val="1"/>
                <w:rtl w:val="0"/>
              </w:rPr>
              <w:t xml:space="preserve">tostarp paredzot valstspilsētu un tām piegulošo novadu savienojamības modeli, lai nodrošinātu iedzīvotāju ikdienas mobilitāti uz darba vietām, izglītības, veselības aprūpes un citiem pakalpojumiem, kā arī veicinātu reģionālo ekonomisko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Valdības rīcības plāna pasākums Nr. 32.10 Vienoties par Tuvo Austrumu konflikta radīto cenu pieauguma enerģētikas sektorā ietekmi mazinošiem pasākumiem saistībā ar nākamo apkures sezonu.</w:t>
            </w:r>
            <w:r w:rsidR="00000000" w:rsidRPr="00000000" w:rsidDel="00000000">
              <w:rPr>
                <w:i w:val="1"/>
                <w:u w:val="single"/>
                <w:rtl w:val="0"/>
              </w:rPr>
              <w:t xml:space="preserve">Darbības rezultāts:</w:t>
            </w:r>
            <w:r w:rsidR="00000000" w:rsidRPr="00000000" w:rsidDel="00000000">
              <w:rPr>
                <w:i w:val="1"/>
                <w:rtl w:val="0"/>
              </w:rPr>
              <w:t xml:space="preserve"> Nākamajai apkures sezonai no 01.10.2026.– 30.04.2027. palielināti mājokļa pabalsta koeficienti šādām mērķa grupām – atsevišķi dzīvojošai pensijas vecuma personai vai atsevišķi dzīvojošai personai ar invaliditāti; mājsaimniecībai, kurā ir tikai pensijas vecuma personas vai personas ar invaliditāti; mājsaimniecībai, kurā ir bērni līdz 18 gadu vecumam vai pilngadīgas personas, kuras nav sasniegušas 24 gadu vecumu, ja tās iegūst vispārējo, profesionālo vai augstāko izglītību un pārējām mājsaimniecībām.</w:t>
            </w:r>
            <w:r w:rsidR="00000000" w:rsidRPr="00000000" w:rsidDel="00000000">
              <w:rPr>
                <w:i w:val="1"/>
                <w:rtl w:val="0"/>
              </w:rPr>
              <w:t xml:space="preserve">Grozījumi Sociālo pakalpojumu un sociālās palīdzības likumā. Pasākums īstenojams, ja tiek piešķirts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darbības rezultāta formulējumam, kas paredz tikai mājokļa pabalsta koeficientu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13.panta astotā daļa paredz, </w:t>
            </w:r>
            <w:r w:rsidR="00000000" w:rsidRPr="00000000" w:rsidDel="00000000">
              <w:rPr>
                <w:i w:val="1"/>
                <w:rtl w:val="0"/>
              </w:rPr>
              <w:t xml:space="preserve">lai daļēji kompensētu pašvaldību izdevumus par šā likuma 35. panta pirmajā daļā noteikto pamata sociālās palīdzības pabalstu nodrošināšanu, valsts nodrošina mērķdotāciju pašvaldībām izdevumu segšanai 30 procentu apmērā no mājsaimniecībām izmaksātā garantētā minimālā ienākuma pabalsta un mājokļa pabalsta.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pieauguma ietekmes mazināšana ir risināma valsts līmenī un nav pieļaujama papildu sloga uzlikšana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palielinot koeficientu būtiski pieaugs arī pašvaldību izdevumi, koeficientu palielināšana būtu pieļaujama tikai situācijā, ja atbilstoši tiek palielināta valsts mērķdotācija pašvaldībām.</w:t>
            </w:r>
            <w:r w:rsidR="00000000" w:rsidRPr="00000000" w:rsidDel="00000000">
              <w:rPr>
                <w:b w:val="1"/>
                <w:u w:val="single"/>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Valdības rīcības plāna pasākums Nr. 42.5 Pārtrauksim tirdzniecību (eksportu un importu) ar Krieviju un Baltkrieviju. Uzņemsimies vadošo lomu šī jautājuma virzībai arī ES formāta ietvarā. Koordinēsim savu rīcību ar Baltijas valstīm un citām reģiona valstīm.</w:t>
            </w:r>
            <w:r w:rsidR="00000000" w:rsidRPr="00000000" w:rsidDel="00000000">
              <w:rPr>
                <w:i w:val="1"/>
                <w:u w:val="single"/>
                <w:rtl w:val="0"/>
              </w:rPr>
              <w:t xml:space="preserve">Darbības rezultāts:</w:t>
            </w:r>
            <w:r w:rsidR="00000000" w:rsidRPr="00000000" w:rsidDel="00000000">
              <w:rPr>
                <w:i w:val="1"/>
                <w:rtl w:val="0"/>
              </w:rPr>
              <w:t xml:space="preserve"> 1) Nacionālā pozīcija iesniegta MK līdz 01.08.2026.</w:t>
            </w:r>
            <w:r w:rsidR="00000000" w:rsidRPr="00000000" w:rsidDel="00000000">
              <w:rPr>
                <w:i w:val="1"/>
                <w:rtl w:val="0"/>
              </w:rPr>
              <w:t xml:space="preserve">2) MK iesniegts Rīcības plāns par tirdzniecības (eksporta un importa) pārtraukšanu ar Krieviju un Baltkrieviju.</w:t>
            </w:r>
            <w:r w:rsidR="00000000" w:rsidRPr="00000000" w:rsidDel="00000000">
              <w:rPr>
                <w:i w:val="1"/>
                <w:rtl w:val="0"/>
              </w:rPr>
              <w:t xml:space="preserve">3) Priekšlikumi iesniegti MK līdz 15.07.2026.</w:t>
            </w:r>
            <w:r w:rsidR="00000000" w:rsidRPr="00000000" w:rsidDel="00000000">
              <w:rPr>
                <w:i w:val="1"/>
                <w:rtl w:val="0"/>
              </w:rPr>
              <w:t xml:space="preserve">4) Koordinēta Baltijas un citu reģiona valstu nostāja.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Izstrādāt atbalsta instrumentu Krievijas un Baltkrievijas tranzīta pilsētu ekonomikas transformācijai, īpaši Ventspilij, Liepājai, Jelgavai, Rēzeknei un Rīgai, pārorientējot tranzītu nodrošinošās teritorijas uz ražošanu, enerģētiku, militāro mobilitāti, loģistiku un eksportspējīgu industriju.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Komentārs:</w:t>
            </w:r>
            <w:r w:rsidR="00000000" w:rsidRPr="00000000" w:rsidDel="00000000">
              <w:rPr>
                <w:rtl w:val="0"/>
              </w:rPr>
              <w:t xml:space="preserve"> Rīcības plānā nav paredzēts neviens pasākums, kas būtu vērsts uz Latvijas lielo ostu attīstības politikas pilnveidošanu, ostu konkurētspējas stiprināšanu vai ostu pārvaldības reformas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41., 42. un 46. punkts paredz stiprināt Latvijas ekonomisko drošību un konkurētspēju, veicināt uzņēmumu ieiešanu ārvalstu tirgos, pilnībā pārtraukt tirdzniecību ar Krieviju un Baltkrieviju, kā arī attīstīt ekonomisko sadarbību ar pasaules lielākajām ekonomikām. Šo mērķu sasniegšanā būtiska nozīme ir Latvijas ostām, īpaši ņemot vērā nepieciešamību pielāgot ostu darbību ģeopolitiskajiem un ekonomiskajiem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lielās ostas ir valsts kritiskās infrastruktūras sastāvdaļa un nozīmīgs militārās mobilitātes, ekonomiskās drošības un tautsaimniecības elements, tādēļ pasākumiem un risinājumiem attiecībā uz ostu attīstību un pārvaldību būtu jābūt iekļautiem Rīcības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30.06.2026.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30.06.2026.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Atzinumi_26-TA-1545.docx</dc:title>
</cp:coreProperties>
</file>

<file path=docProps/custom.xml><?xml version="1.0" encoding="utf-8"?>
<Properties xmlns="http://schemas.openxmlformats.org/officeDocument/2006/custom-properties" xmlns:vt="http://schemas.openxmlformats.org/officeDocument/2006/docPropsVTypes"/>
</file>