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Juridiskās personas</w:t>
            </w:r>
            <w:r w:rsidR="00000000" w:rsidRPr="00000000" w:rsidDel="00000000">
              <w:rPr>
                <w:i w:val="1"/>
                <w:rtl w:val="0"/>
              </w:rPr>
              <w:t xml:space="preserve">     Tiešās pārvaldes iestādes, kā finansējuma saņēmēji vai sadarbības partneri, pašvaldības, publiskas personas kapitālsabiedrības (deleģēto pārvaldes uzdevumu veikšanai), tiesu varas institūcijas kā sadarbības partneri 1.3.1.3. pasākuma ietvaros. VARAM</w:t>
            </w:r>
            <w:r w:rsidR="00000000" w:rsidRPr="00000000" w:rsidDel="00000000">
              <w:rPr>
                <w:b w:val="1"/>
                <w:i w:val="1"/>
                <w:rtl w:val="0"/>
              </w:rPr>
              <w:t xml:space="preserve">Ietekmes apraksts</w:t>
            </w:r>
            <w:r w:rsidR="00000000" w:rsidRPr="00000000" w:rsidDel="00000000">
              <w:rPr>
                <w:i w:val="1"/>
                <w:rtl w:val="0"/>
              </w:rPr>
              <w:t xml:space="preserve">     Īstenojot projektus, ir jāņem vērā noteikumu projektā noteiktais pieejamais ERAF finansējums un projektā sasniedzamās rādītāju vērtības.</w:t>
            </w:r>
            <w:r w:rsidR="00000000" w:rsidRPr="00000000" w:rsidDel="00000000">
              <w:rPr>
                <w:i w:val="1"/>
                <w:rtl w:val="0"/>
              </w:rPr>
              <w:t xml:space="preserve">Juridiskām personām noteikumu projekta tiesiskais regulējums nemaina tiesības un pienākumus, kā arī veicamās darbības.</w:t>
            </w:r>
            <w:r w:rsidR="00000000" w:rsidRPr="00000000" w:rsidDel="00000000">
              <w:rPr>
                <w:i w:val="1"/>
                <w:rtl w:val="0"/>
              </w:rPr>
              <w:t xml:space="preserve">VARAM pilda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projekta tiešās ietekmes aprakstu uz katru Tiešās pārvaldes kā finansējuma saņēmēja partneri, tajā skaitā -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28.03.2025.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28.03.2025.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