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23-TA-1130: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kapitāla daļu un kapitālsabiedrību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ceturtās daļas trešajā punktā nepieciešams svītrot vārdus “šā panta pirmajā daļā minētajā gadījumā”, jo pirmajā daļā nekāds gadījums nav minēts un ceturtās daļas ievaddaļa jau sākas ar vārdiem “šā panta pirmajā daļā minētajos lēmumos ietver”, no kā izriet, ka 3. punktā norādītais ir jāiekļauj lēmumos.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ceturtās daļas 3. punktu aiz vārdiem “vai tādas valsts” nepieciešams papildināt ar vārdiem “vai pašvaldības administratīvās teritorijas attīstībai” atbilstoši Valsts pārvaldes iekārtas likuma 88. panta pirmās daļas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7.</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trešajā daļā vārdu “trešajā” nepieciešams aizstāt ar vārdu “ceturtajā”, jo 7. panta trešajā daļā atbrīvojumi nav noteikti.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otrās daļas 1. punktā noteikts, ka publiskas personas kontrolētā kapitālsabiedrībā tiek izstrādāta gaidu vēstule atbilstoši likuma 25.2 pantam, kas ir pretrunā ar likuma regulējumu, ka gaidu vēstule kā obligāta ir noteikta tikai valsts kapitālsabiedrībās un valsts kontrolētās kapitālsabiedrībās, bet 8. panta otrā daļa attiecas nevis tikai uz valsts kontrolētajām kapitālsabiedrībām, bet uz jebkuru publisku personu kontrolētajām kapitālsabiedrībām. Ierosinām svītrot regulējumu par gaidu vēstules izstrādāšanu no 8. panta otrās daļas, bet papildināt likuma 25.2 pantu, paredzot, ka valsts kā dalībnieks izstrādā savu gaidu vēstuli publiskas personas kontrolētā kapitālsabiedrībā, kur valsts ir viens no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21.06.2024.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21.06.2024.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Atzinumi_23-TA-1130.docx</dc:title>
</cp:coreProperties>
</file>

<file path=docProps/custom.xml><?xml version="1.0" encoding="utf-8"?>
<Properties xmlns="http://schemas.openxmlformats.org/officeDocument/2006/custom-properties" xmlns:vt="http://schemas.openxmlformats.org/officeDocument/2006/docPropsVTypes"/>
</file>