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atlases ietvaros tiek atbalstīti projekti, kurus īstenojot tiek uzlabota šo noteikumu </w:t>
            </w:r>
            <w:r w:rsidR="00000000" w:rsidRPr="00000000" w:rsidDel="00000000">
              <w:rPr>
                <w:rtl w:val="0"/>
              </w:rPr>
              <w:t xml:space="preserve">15.</w:t>
            </w:r>
            <w:r w:rsidR="00000000" w:rsidRPr="00000000" w:rsidDel="00000000">
              <w:rPr>
                <w:rtl w:val="0"/>
              </w:rPr>
              <w:t xml:space="preserve"> punktā minēto ēku energoefektivitāte un siltumnoturība līdz gandrīz nulles enerģijas ēkas vai bezemisiju ēkas līmenim, ievērojot energoefektivitāti un būvniecību regulējošajos normatīvajos aktos noteiktos izņēmumus un atkāpes pienākumam publiskajam sektoram ēku atjaunošanā un pārbūvē sasniegt gandrīz nulles enerģijas ēkas vai bezemisiju ēkas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gadījumā, ja līdz projektu iesniegumu atlases izsludināšanas brīdim vai projektu iesniegšanas termiņā Ēku energoefektivitātes likumā publiskā sektora ēku atjaunošanai vai pārbūvei netiks noteikti izņēmumi un atkāpes gandrīz nulles enerģijas ēkas vai bezemisiju ēkas līmeņa sasniegšanai, tad projektu iesniegumu atlasē izņēmumi vai atkāpes netiks pieļauti. Savukārt noteikumu projekta regulējums paredz, ka pasākuma atlases ietvaros tiek atbalstīti projekti, kurus īstenojot tiek uzlabota ēku energoefektivitāte un siltumnoturība, ievērojot energoefektivitāti un būvniecību regulējošajos normatīvajos aktos noteiktos izņēmumus un atkāpes, pienākumam publiskajam sektoram sasniegt gandrīz nulles enerģijas ēkas vai bezemisiju ēkas līmeni. Lai skaidri un nepārprotami noteiktu izņēmumu un atkāpju piemērošanas apjomu un laika ietvaru, aicinām nodrošināt anotācijas un noteikumu projekta savstarpēju saskaņotību, pielāgojot noteikumu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projektu iesniegumu atlases ietvaros tiek atbalstīti projekti, kuru īstenošanas rezultātā tiek uzlabota šo noteikumu 15. punktā minēto ēku energoefektivitāte un siltumnoturība līdz gandrīz nulles enerģijas ēkas vai bezemisiju ēkas līmenim. Izņēmumi un atkāpes no pienākuma publiskā sektora ēku atjaunošanā vai pārbūvē sasniegt gandrīz nulles enerģijas ēkas vai bezemisiju ēkas līmeni atlases ietvaros ir pieļaujami tikai tad, ja tie ir noteikti energoefektivitāti un būvniecību regulējošajos normatīvajos aktos un ir spēkā projektu iesniegumu atlases izsludināšanas dienā vai projektu iesniegumu iesniegšanas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atbalsta programmas ietvaros projekta iesniedzējam varētu piešķirt atbalstu saskaņā ar Komisijas 2025. gada 16. decembra lēmumu Nr.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Lēmums Nr. 2025/2630), pilnvarojuma aktiem ir jāatbilst Lēmuma Nr. 2025/2630 nosacījumiem, pirms tiek piešķirts atbalsts ar Lēmumu Nr. 2025/2630, tādējādi nav korekts anotācijā norādītais teksts (“</w:t>
            </w:r>
            <w:r w:rsidR="00000000" w:rsidRPr="00000000" w:rsidDel="00000000">
              <w:rPr>
                <w:i w:val="1"/>
                <w:rtl w:val="0"/>
              </w:rPr>
              <w:t xml:space="preserve">Ja pakalpojuma līgums noslēgts saskaņā ar Komisijas 2012.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pilnvarojuma uzlicējiem un finansējuma saņēmējiem grozījumi pilnvarojuma aktos (pakalpojumu līgumos), lai tie atbilstu Komisijas lēmumam Nr. 2025/2630, ir jāveic projekta īstenošanas laikā vai tā pēcuzraudzības laikā, ievērojot Komisijas lēmuma Nr. 2025/2630 9. panta a) punktā noteikto pārejas periodu (divus gadus kopš Komisijas lēmuma Nr. 2025/2630 stāšanās spēkā, tas ir, līdz 2028. gada 8. janvārim)</w:t>
            </w:r>
            <w:r w:rsidR="00000000" w:rsidRPr="00000000" w:rsidDel="00000000">
              <w:rPr>
                <w:rtl w:val="0"/>
              </w:rPr>
              <w:t xml:space="preserve">.”). Aicinām anotācijā izskaidrot, ka grozījumi pilnvarojuma aktos (vai jauna pilnvarojuma akta noslēgšana) jāveic līdz projekta pieteikuma iesniegšanai. Attiecībā uz izziņas 23. punktā Jūsu sniegto skaidrojumu (“</w:t>
            </w:r>
            <w:r w:rsidR="00000000" w:rsidRPr="00000000" w:rsidDel="00000000">
              <w:rPr>
                <w:i w:val="1"/>
                <w:rtl w:val="0"/>
              </w:rPr>
              <w:t xml:space="preserve">Skaidrojam, ka informācija sagatavota un norādīta atbilstoši Finanšu ministrijas 2026. gada 6. februāra vēstulē Nr. 7-4/18/345 norādītajam, tas ir: "Ņemot vērā iepriekš minēto, attiecībā uz nepieciešamību veikt grozījumus pilnvarojuma aktos FM piekrīt, ka VARAM piedāvātais risinājums par grozījumu veikšanu pilnvarojuma aktos pārejas perioda laikā atbilst Komisijas lēmuma Nr. 2025/2630 pārejas noteikumiem.</w:t>
            </w:r>
            <w:r w:rsidR="00000000" w:rsidRPr="00000000" w:rsidDel="00000000">
              <w:rPr>
                <w:rtl w:val="0"/>
              </w:rPr>
              <w:t xml:space="preserve">"”) atkārtoti skaidrojam, ka sniegtais skaidrojums attiecas tikai uz Lēmuma Nr. 2025/2630 9. panta a) punktā noteikto pārejas periodu tādu atbalsta programmu gadījumā, kas bija stājušās spēkā līdz Lēmuma Nr. 2025/2630 spēkā stāšanās brīdim (līdz 07.01.2026). Savukārt šī ir jauna atbalsta programma, kur MK noteikumi ir vēl tikai izstrādes un saskaņošanas procesā, un uz to minētais pārejas perioda nosacījums neattiecas. Ņemot vērā iepriekš minēto, atkārtoti 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atbildes vēstulē uz Saeimas Tautsaimniecības agrārās, vides un reģionālās politikas komisijas 2025. gada 10. aprīļa vēstuli Nr. 142.1.9/8-11-14/25 ir rakstīts: "Piemēram, pašlaik identificētā situācija liecina, ka drīzākajā laikā n</w:t>
            </w:r>
            <w:r w:rsidR="00000000" w:rsidRPr="00000000" w:rsidDel="00000000">
              <w:rPr>
                <w:u w:val="single"/>
                <w:rtl w:val="0"/>
              </w:rPr>
              <w:t xml:space="preserve">av nepieciešamas būtiskas papildu valsts investīcijas vai subsīdijas liela apmēra enerģijas ražošanas avotu</w:t>
            </w:r>
            <w:r w:rsidR="00000000" w:rsidRPr="00000000" w:rsidDel="00000000">
              <w:rPr>
                <w:rtl w:val="0"/>
              </w:rPr>
              <w:t xml:space="preserve"> (piemēram, saules un vēja elektrostaciju) </w:t>
            </w:r>
            <w:r w:rsidR="00000000" w:rsidRPr="00000000" w:rsidDel="00000000">
              <w:rPr>
                <w:u w:val="single"/>
                <w:rtl w:val="0"/>
              </w:rPr>
              <w:t xml:space="preserve">attīstībā</w:t>
            </w:r>
            <w:r w:rsidR="00000000" w:rsidRPr="00000000" w:rsidDel="00000000">
              <w:rPr>
                <w:rtl w:val="0"/>
              </w:rPr>
              <w:t xml:space="preserve">, ņemot vērā plašo investoru interesi un aktivitāti attiecīgo projektu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KPMG pētījumā "Emisijas kvotu izsolīšanas instrumenta klimata pārmaiņu mazināšanas pasākumi un pasākumu izvērtēšanas metodika" norādīts, ka aktivitāte </w:t>
            </w:r>
            <w:r w:rsidR="00000000" w:rsidRPr="00000000" w:rsidDel="00000000">
              <w:rPr>
                <w:u w:val="single"/>
                <w:rtl w:val="0"/>
              </w:rPr>
              <w:t xml:space="preserve">"Saules paneļu uzstādīšana pašvaldībās pašpatēriņam" ir ar vienu no zemākajiem efektivitātes rādītājiem</w:t>
            </w:r>
            <w:r w:rsidR="00000000" w:rsidRPr="00000000" w:rsidDel="00000000">
              <w:rPr>
                <w:rtl w:val="0"/>
              </w:rPr>
              <w:t xml:space="preserve"> (28. vieta no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atbalsta nepieciešamību AER ražojošo jaudu uzstādīšanai gadījumos, kad tiek pārsniegtas Direktīvas 2024/1275 10. panta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Cīrulis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1., 2., 3. un 5.punktā norādītais 2029.gada finansējums nesakrīt ar anotācijas 3.sadaļas 6.punktā norādīto 2029.gada finansējumu, attiecīgi lūdzam precizēt, lai minētais finansējums tiktu norādīts vienādā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28.04.2026.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28.04.2026.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