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28. decembra noteikumos Nr. 1228 "Noteikumi par lielgabarīta un smagsvara pārvadājumu atļaujas izsniegšanas valsts nodevas apmēru, samaksas kārtību un atbrīvojumiem"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maksājama valsts nodeva par lielgabarīta un smagsvara pārvadājumu (turpmāk - pārvadājums) atļaujas izsniegšanu (turpmāk – nodeva), nodevas apmēru un atbrīvojumiem no nodevas.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likuma "Par autoceļiem" 6. panta trešā daļa paredz pilnvarojumu Ministru kabinetam noteikt valsts nodevas par lielgabarīta un smagsvara pārvadājumu atļaujas izsniegšanu apmēru, maksāšanas kārtību un atbrīvojumus. Informējam, ka atbilstoši Noteikumu Nr. 108 100. punktam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1.1. apakšpunktā piedāvāto Ministru kabineta 2010. gada 28. decembra noteikumu Nr. 1228 "Noteikumi par lielgabarīta un smagsvara pārvadājumu atļaujas izsniegšanas valsts nodevas apmēru, samaksas kārtību un atbrīvojumiem" (turpmāk – Noteikumi Nr. 1228)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Lielgabarīta un smagsvara pārvadājumu atļauja (turpmāk – atļauja) tiek izsniegta atbilstoši </w:t>
            </w:r>
            <w:r w:rsidR="00000000" w:rsidRPr="00000000" w:rsidDel="00000000">
              <w:rPr>
                <w:rtl w:val="0"/>
              </w:rPr>
              <w:t xml:space="preserve">Ministru kabineta 2010. gada 6. aprīļa noteikumiem Nr. 343 “Noteikumi par lielgabarīta un smagsvara pārvadājumiem“</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3.1. apakšpunktam normatīvā akta projektā neietver normas, kas ir deklaratīvas. Paskaidrojam, ka par deklaratīviem un nevēlamiem, cita starpā, atzīstami tādi noteikumi, kuriem nav noteikts īstenošanas mehānisms vai kurus vispār nav paredzēts īstenot, jo tie satur tikai apgalvojumu, paziņojumu vai faktu konstatāciju. Šādas normas ir juridiski nevērtīgas, liekas un nepamatoti palielina normatīvā akta apjomu (</w:t>
            </w:r>
            <w:r w:rsidR="00000000" w:rsidRPr="00000000" w:rsidDel="00000000">
              <w:rPr>
                <w:i w:val="1"/>
                <w:rtl w:val="0"/>
              </w:rPr>
              <w:t xml:space="preserve">sk. Valsts kanceleja. Normatīvo aktu projektu izstrādes rokasgrāmata, 2016. 18.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Nodevu par atļauju veikt pārvadājumus noteiktajā termiņā (bet ne ilgākā par 12 mēnešiem) maksā saskaņā ar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noteiktajām nodevas likmēm, summējot tās attiecīgajam pārvadājuma veidam un izvēlētajam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1.1. apakšpunktā piedāvātajam Noteikumu Nr. 1228 1. punktam Noteikumu Nr. 1228 tekstā vārdkopas "valsts nodeva par lielgabarīta un smagsvara pārvadājumu atļaujas izsniegšanu" saīsināšanai tiek lietots vārds "nodeva". Ievērojot minēto, lūdzam atbilstoši precizēt projekta 1.5. apakšpunktā piedāvāto Noteikumu Nr. 1228 5.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Nodevu par atļauju veikt pārvadājumus noteiktajā termiņā (bet ne ilgākā par 12 mēnešiem) maksā saskaņā ar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noteiktajām nodevas likmēm, summējot tās attiecīgajam pārvadājuma veidam un izvēlētajam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Nr. 343 9. punkts jau paredz, ka šajos noteikumos noteiktos gadījumos atļauju var izsniegt uz noteiktu termiņu, bet ne ilgāku par 12 mēnešiem. Informējam, ka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1.5. apakšpunktā piedāvāto Noteikumu Nr. 1228 5.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Nodevas nedēļas likme paredz tiesības veikt pārvadājumus septiņas nepārtrauktas diennaktis, bet mēneša likme – trīsdesmit nepārtrauktas diennaktis.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tā kā projekta 1.6. apakšpunkts paredz izteikt Noteikumu Nr. 1228 6. punktu jaunā redakcijā, nav nepieciešams norādīt tās Noteikumu Nr. 1228 vienības, kas spēkā esošajā redakcijā ir svītrotas. Ievērojot minēto, lūdzam atbilstoši precizēt projekta 1.6. apakšpunktā piedāvāto Noteikumu Nr. 1228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 nodevas samaksas ir atbrīvoti transportlīdzekļu īpašnieki (turētāji, valdītāji),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Noteikumi Nr. 1228 noteic kārtību, kādā maksājama valsts nodeva </w:t>
            </w:r>
            <w:r w:rsidR="00000000" w:rsidRPr="00000000" w:rsidDel="00000000">
              <w:rPr>
                <w:u w:val="single"/>
                <w:rtl w:val="0"/>
              </w:rPr>
              <w:t xml:space="preserve">par lielgabarīta un smagsvara pārvadājumu atļaujas izsniegšanu</w:t>
            </w:r>
            <w:r w:rsidR="00000000" w:rsidRPr="00000000" w:rsidDel="00000000">
              <w:rPr>
                <w:rtl w:val="0"/>
              </w:rPr>
              <w:t xml:space="preserve"> (turpmāk – nodeva), nodevas apmēru un atbrīvojumiem no nodevas. Ievērojot minēto, lūdzam precizēt projekta 1.7. apakšpunktā piedāvātā Noteikumu Nr. 1228 7. punkta redakciju, nosakot, ka no nodevas ir atbrīvoti transportlīdzekļu īpašnieki, </w:t>
            </w:r>
            <w:r w:rsidR="00000000" w:rsidRPr="00000000" w:rsidDel="00000000">
              <w:rPr>
                <w:u w:val="single"/>
                <w:rtl w:val="0"/>
              </w:rPr>
              <w:t xml:space="preserve">kas lielgabarīta un smagsvara pārvadājumiem izmanto</w:t>
            </w:r>
            <w:r w:rsidR="00000000" w:rsidRPr="00000000" w:rsidDel="00000000">
              <w:rPr>
                <w:rtl w:val="0"/>
              </w:rPr>
              <w:t xml:space="preserve"> šajā punktā minētos transportlīdzekļus, vienlaikus precizējot minētajā punktā lietoto gramatisko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Iekšlietu ministrijas un Aizsardzības ministrijas institūciju transportlīdzekļiem;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projekta 1.7. apakšpunktā piedāvātā Noteikumu Nr. 1228 7.1. apakšpunkta izriet, ka no nodevas ir atbrīvoti transportlīdzekļu īpašnieki, kas lielgabarīta un smagsvara pārvadājumiem izmanto Iekšlietu ministrijas un Aizsardzības ministrijas institūciju transportlīdzekļus. Lai nodrošinātu skaidru un nepārprotamu tiesisko regulējumu, lūdzam precizēt projekta 1.7. apakšpunktā piedāvāto Noteikumu Nr. 1228 7.1. apakšpunktu, nosakot, ka no nodevas ir atbrīvotas Iekšlietu ministrijas un Aizsardzības ministrijas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nodevas apmērs par lielgabarīta un smagsvara pārvadājumu atļaujas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1228 spēkā esošajā redakcijā ir tikai viens pielikums. Ievērojot minēto, lūdzam atbilstoši precizēt projekta 1.8.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Nodevas likmes pārvadājumam pa noteiktu maršrutu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1.9. un 1.10. apakšpunkts paredz papildināt Noteikumus Nr. 1228 ar 2. un 3. pielikumu, vienlaikus projektā piedāvātajā Noteikumu Nr. 1228 4. un 5. punktā ietverta atsauce uz Noteikumu Nr. 1228 1. un 2. pielikumu. Ievērojot minēto, lūdzam precizēt projektu, nodrošinot precīzu iekšējo atsauču lietošanu atbilstoši Noteikumu Nr. 108 132. punktā noteiktajai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Nodevas likmes pārvadājumiem par noteiktu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projekta 1.10. apakšpunktā piedāvātā Noteikumu Nr. 1228 3. pielikumā lietotā saīsinājuma "CSDD" atšifrējumu. Papildus vēršam uzmanību, ka tā kā saīsinājums "CSDD" projekta tekstā lietots tikai vienu reizi, nav saprotama nepieciešamība šādu saīsinājumu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paredz grozīt valsts nodevas likmi par lielgabarīta un smagsvara </w:t>
            </w:r>
            <w:r w:rsidR="00000000" w:rsidRPr="00000000" w:rsidDel="00000000">
              <w:rPr>
                <w:u w:val="single"/>
                <w:rtl w:val="0"/>
              </w:rPr>
              <w:t xml:space="preserve">pārvadājumu atļaujas izsniegšanu</w:t>
            </w:r>
            <w:r w:rsidR="00000000" w:rsidRPr="00000000" w:rsidDel="00000000">
              <w:rPr>
                <w:rtl w:val="0"/>
              </w:rPr>
              <w:t xml:space="preserve">. Ievērojot minēto, lūdzam atbilstoši precizēt projekta anotācijas 2.1.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22-TA-2689</w:t>
    </w:r>
    <w:r>
      <w:br/>
    </w:r>
    <w:r w:rsidR="00000000" w:rsidRPr="00000000" w:rsidDel="00000000">
      <w:rPr>
        <w:rtl w:val="0"/>
      </w:rPr>
      <w:t xml:space="preserve">Izdrukāts 20.12.2022.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22-TA-2689</w:t>
    </w:r>
    <w:r>
      <w:br/>
    </w:r>
    <w:r w:rsidR="00000000" w:rsidRPr="00000000" w:rsidDel="00000000">
      <w:rPr>
        <w:rtl w:val="0"/>
      </w:rPr>
      <w:t xml:space="preserve">Izdrukāts 20.12.2022.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Atzinumi_22-TA-2689.docx</dc:title>
</cp:coreProperties>
</file>

<file path=docProps/custom.xml><?xml version="1.0" encoding="utf-8"?>
<Properties xmlns="http://schemas.openxmlformats.org/officeDocument/2006/custom-properties" xmlns:vt="http://schemas.openxmlformats.org/officeDocument/2006/docPropsVTypes"/>
</file>