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Ziņojuma 3.6.punktā ir norāde uz potenciālām personāla izmaksām, kā arī vispārīgu institūciju loku, kuru aptver pilotprojekti, kā arī MK 2024.gadā pieņemtos lēmumus saistībā ar atlīdzības izmaksu pieauguma tempa ierobežojumu, lūdzam papildināt Ziņojumu ar norādi (papildu informāciju) vai un kā līdzekļu pārdale no investīcijām uz reformas sadaļu ietekmēs pilotprojektos iesaistīto institūciju personālresursu atlīdzību, kā arī norādes par konkrētu institūciju tvērumu, kuras šīs izmaiņas ietekmēs.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15.04.2025.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15.04.2025.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Atzinumi_25-TA-657.docx</dc:title>
</cp:coreProperties>
</file>

<file path=docProps/custom.xml><?xml version="1.0" encoding="utf-8"?>
<Properties xmlns="http://schemas.openxmlformats.org/officeDocument/2006/custom-properties" xmlns:vt="http://schemas.openxmlformats.org/officeDocument/2006/docPropsVTypes"/>
</file>