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šo noteikumu projektā paredzētais pienākums no 01.01.2027. </w:t>
            </w:r>
            <w:r w:rsidR="00000000" w:rsidRPr="00000000" w:rsidDel="00000000">
              <w:rPr>
                <w:b w:val="1"/>
                <w:u w:val="single"/>
                <w:rtl w:val="0"/>
              </w:rPr>
              <w:t xml:space="preserve">manuāli</w:t>
            </w:r>
            <w:r w:rsidR="00000000" w:rsidRPr="00000000" w:rsidDel="00000000">
              <w:rPr>
                <w:rtl w:val="0"/>
              </w:rPr>
              <w:t xml:space="preserve"> apkopot un publicēt informāciju par visiem ceturkšņa izdevumiem attiecībā uz veiktajiem iepirkumiem un noslēgtajiem iepirkuma līgumiem iestāžu tīmekļvietnēs nav samērīgs un dublē Publisko iepirkuma likuma (turpmāk – PIL) pārejas noteikumos paredzēto pienākumu šo informāciju publicē sākot ar 01.01.2028., līdz kuram cita starpā ir paredzēts pielāgot valsts informācijas sistēmas centralizētai un automatizētai datu iegūšanai un publicēšanai.  Nav skaidri apsvērumi un mērķi ātrāk kā PIL noteiktajā termiņā uzdot katrai iestādei ieviest individuālus risinājumus manuālai datu apkopošanai, jo tas nepārprotami iestādēm radīs papildus administratīvo un finansiālo slogu, savukārt šī sloga samērīgums pret sasniedzamo ieguvumu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Brivna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