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rīkojumā Nr. 524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3. sadaļas 6. punkta tabulā “Finansējums kopā, </w:t>
            </w:r>
            <w:r w:rsidR="00000000" w:rsidRPr="00000000" w:rsidDel="00000000">
              <w:rPr>
                <w:i w:val="1"/>
                <w:rtl w:val="0"/>
              </w:rPr>
              <w:t xml:space="preserve">euro</w:t>
            </w:r>
            <w:r w:rsidR="00000000" w:rsidRPr="00000000" w:rsidDel="00000000">
              <w:rPr>
                <w:rtl w:val="0"/>
              </w:rPr>
              <w:t xml:space="preserve">” precizēto kopsummu izdevumu pozīcijā “Kapitālie ieguldījumi, EKK 5000 (bez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anotācijas 3. sadaļas punktā “Cita informācija” precizēt informāciju par uzturēšanas izdevumu pēc projekta pabeigšanas pieprasīšanu, norādot, ka papildu nepieciešamais finansējums projekta rezultātu uzturēšanai tiks pieprasīts normatīvajos aktos noteiktajā kārtībā, neuzskaitot konkrētus normatīvos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Ministru kabineta rīkojuma projekta anotācijas 3. sadaļas 6. punktā iekļaut aktualizētā uzturēšanas izdevumu apmēra pēc projekta pabeigšanas detalizētu izdevumu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26.02.2026.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26.02.2026.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Atzinumi_25-TA-2910.docx</dc:title>
</cp:coreProperties>
</file>

<file path=docProps/custom.xml><?xml version="1.0" encoding="utf-8"?>
<Properties xmlns="http://schemas.openxmlformats.org/officeDocument/2006/custom-properties" xmlns:vt="http://schemas.openxmlformats.org/officeDocument/2006/docPropsVTypes"/>
</file>