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28.3. ir tiesīgs atteikt segt šo noteikumu </w:t>
            </w:r>
            <w:r w:rsidR="00000000" w:rsidRPr="00000000" w:rsidDel="00000000">
              <w:rPr>
                <w:rtl w:val="0"/>
              </w:rPr>
              <w:t xml:space="preserve">22.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minētās dzīvesvietas apsekojuma izmaksas, ja pašvaldība nav novērsusi biroja norādītās konstatētās nepilnības šo noteikumu </w:t>
            </w:r>
            <w:r w:rsidR="00000000" w:rsidRPr="00000000" w:rsidDel="00000000">
              <w:rPr>
                <w:rtl w:val="0"/>
              </w:rPr>
              <w:t xml:space="preserve">27.2.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 minētajā termiņā.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28.3.apakšpunkts ir jāpārvieto uz 27.punktu (27.3.apakšpunkts), jo tas ir attiecināms uz Biroja tiesībām atteikt segt izmaksas par dzīvesvietas apsekošanu.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Šteinberga (BVKB)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26.06.2024.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26.06.2024.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