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 rezultātu vērsta budžeta veidošanas un attīstības virzieniem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28.02.2025. 19.14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28.02.2025. 19.14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