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Aizsargjoslu likuma 1.panta 1.punktu </w:t>
            </w:r>
            <w:r w:rsidR="00000000" w:rsidRPr="00000000" w:rsidDel="00000000">
              <w:rPr>
                <w:b w:val="1"/>
                <w:rtl w:val="0"/>
              </w:rPr>
              <w:t xml:space="preserve">aizsargjoslas </w:t>
            </w:r>
            <w:r w:rsidR="00000000" w:rsidRPr="00000000" w:rsidDel="00000000">
              <w:rPr>
                <w:rtl w:val="0"/>
              </w:rPr>
              <w:t xml:space="preserve">ir noteiktas platības, </w:t>
            </w:r>
            <w:r w:rsidR="00000000" w:rsidRPr="00000000" w:rsidDel="00000000">
              <w:rPr>
                <w:b w:val="1"/>
                <w:rtl w:val="0"/>
              </w:rPr>
              <w:t xml:space="preserve">kuru uzdevums</w:t>
            </w:r>
            <w:r w:rsidR="00000000" w:rsidRPr="00000000" w:rsidDel="00000000">
              <w:rPr>
                <w:rtl w:val="0"/>
              </w:rPr>
              <w:t xml:space="preserve"> ir aizsargāt dažāda veida (gan dabiskus, gan mākslīgus) objektus no nevēlamas ārējās iedarbības, nodrošināt to ekspluatāciju un drošību vai pasargāt vidi un cilvēku no kāda objekta kaitīgās ietekmes. Līdz ar to aizsargjoslas pēc savas būtības ir paredzētas gan autoceļu uzturēšanas, gan būvniecības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autoceļu ikdienas uzturēšanā vajadzīga ātra rīcība, piemēram izskalojumu vai sagāztu koku postījumu novēršanai tam bieži vien ir vajadzīga plašāka teritorija kā nodalījuma josla, tāpēc </w:t>
            </w:r>
            <w:r w:rsidR="00000000" w:rsidRPr="00000000" w:rsidDel="00000000">
              <w:rPr>
                <w:b w:val="1"/>
                <w:rtl w:val="0"/>
              </w:rPr>
              <w:t xml:space="preserve">lūdzam precizēt noteikumu projektu</w:t>
            </w:r>
            <w:r w:rsidR="00000000" w:rsidRPr="00000000" w:rsidDel="00000000">
              <w:rPr>
                <w:rtl w:val="0"/>
              </w:rPr>
              <w:t xml:space="preserve">, nosakot, ka autoceļu uzturēšanas vajadzībām var izmantot aizsargjoslu, kas ir plašāka nekā nodalījuma josla, vai arī norādot, ka arī neitrālajā zonā ir spēkā Aizsargjoslu likumā noteiktās autoceļu aizsargjoslas ar visām no tā izrietošajām autoceļu īpašnieka vai pārvaldītāja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Šis iebildums skatāms un precizējumi veicami kontekstā ar Satiksmes ministrijas iebildumu par likumprojekta "Gaujas Nacionālā parka likums" (24-TA-209) 9.pantu.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