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augstskola un koledža iesniedz Izglītības un zinātnes ministrijai informāciju par savu darbību un to publisko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 Augstskola un koledža šo noteikumu </w:t>
            </w:r>
            <w:r w:rsidR="00000000" w:rsidRPr="00000000" w:rsidDel="00000000">
              <w:rPr>
                <w:rtl w:val="0"/>
              </w:rPr>
              <w:t xml:space="preserve">7.</w:t>
            </w:r>
            <w:r w:rsidR="00000000" w:rsidRPr="00000000" w:rsidDel="00000000">
              <w:rPr>
                <w:rtl w:val="0"/>
              </w:rPr>
              <w:t xml:space="preserve"> punktā minētos datus (turpmāk – publiskojamie dati) par savu darbību sagatavo publicēšanai par iepriekšējo kalendāro gadu, iekļaujot informāciju par studējošiem, citu izglītības programmu izglītojamiem, absolventiem un akadēmisko personālu par situāciju uz 1. oktobri.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to, ka stratēģisko un politisko dokumentu izstrādei ir svarīga ātrāka datu ieguve un apmaiņa, lūdzam izvērtēt termiņus vai datu ievades pasākumus savlaicīgākai datu ieguvei un publicēšanai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Baiba Bašķere (EM)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10. Augstskola un koledža gada pārskatu par 2024. gadu sagatavo un publicē līdz 2025. gada 1. aprīlim.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izvērtēt 10.punktā minēto termiņu gada pārskata sagatavošanai un publicēšanai, ņemot vērā, ka 2025.gada 1.aprīlis ir pagājis.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Baiba Bašķere (EM)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23-TA-350</w:t>
    </w:r>
    <w:r>
      <w:br/>
    </w:r>
    <w:r w:rsidR="00000000" w:rsidRPr="00000000" w:rsidDel="00000000">
      <w:rPr>
        <w:rtl w:val="0"/>
      </w:rPr>
      <w:t xml:space="preserve">Izdrukāts 21.05.2025. 18.12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23-TA-350</w:t>
    </w:r>
    <w:r>
      <w:br/>
    </w:r>
    <w:r w:rsidR="00000000" w:rsidRPr="00000000" w:rsidDel="00000000">
      <w:rPr>
        <w:rtl w:val="0"/>
      </w:rPr>
      <w:t xml:space="preserve">Izdrukāts 21.05.2025. 18.12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