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transporta enerģijas kvalitātes prasībām, atbilstības novērtēšanu un tirgus uzraudzību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Transporta enerģijas likuma 4. panta desmito daļu, 12. panta piekto daļu un </w:t>
            </w:r>
            <w:r w:rsidR="00000000" w:rsidRPr="00000000" w:rsidDel="00000000">
              <w:rPr>
                <w:rtl w:val="0"/>
              </w:rPr>
              <w:t xml:space="preserve">likuma "Par atbilstības novērtēšanu" 7. pantu un 9.</w:t>
            </w:r>
            <w:r w:rsidR="00000000" w:rsidRPr="00000000" w:rsidDel="00000000">
              <w:rPr>
                <w:vertAlign w:val="superscript"/>
                <w:rtl w:val="0"/>
              </w:rPr>
              <w:t xml:space="preserve">3</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projektu "Noteikumi par transporta enerģijas kvalitātes prasībām, atbilstības novērtēšanu un tirgus uzraudzību" (turpmāk – noteikumu projekts) Vienotajā tiesību aktu projektu izstrādes un saskaņošanas portālā virzīt saskaņošanai, kad likumprojekts “Transporta enerģijas likums” (Saeimas likumprojektu reģistra Nr. Nr.660/Lp14) (turpmāk - likumprojekts) tiks pieņemts Saeimā 2. lasījumā (2024. gada 26. septembrī minētais likumprojekts Saeimā ir pieņemts tikai pirmajā lasījumā), ievērojot, ka daļa no noteikumu projekta tiesiskā pamatojuma ir tieši likumprojekta normas. Šāda prasība pamatojama ar Valsts kancelejas izstrādātajām vadlīnijām "Vadlīnijas tiesību akta projekta sākotnējās ietekmes novērtēšanai un novērtējuma ziņojuma sagatavošanai vienotajā tiesību aktu izstrādes un saskaņošanas portālā" (turpmāk - vadlīnijas), proti, ieteicams uzsākt Ministru kabineta noteikumu projekta izstrādi tad, kad likumprojekts Saeimā ir pieņemts vismaz 2. lasījumā, jo 2. lasījumā Saeima konceptuāli atbalsta likumprojekta tekstu, tai skaitā likumprojekta tekstā iekļauto deleģējumu Ministru kabineta noteikumu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likumprojekta 4. panta desmitā daļa un 12. panta piektā daļa neparedz Ministru kabinetam deleģējumu izdot noteikumus, tādēļ lūdzam precizēt noteikumu projekta tiesisko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transporta enerģijas kvalitātes rādītājus, būtiskās prasības konkrēta veida tirgū piedāvātajai transporta enerģijai, kā arī transporta enerģijas ražošanas, pārstrādes, pārvietošanas, realizēšanas un atbilstības nodrošināšanas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100.2. apakšpunktam lūdzam izvērtēt un papildināt noteikumu projekta 1. punktu ar pilnvarojumu noteikt kārtību, kādā tirgus uzraudzības iestādes pieprasa preču paraugus, veic kontrolpirkumus un rīkojas ar paraugiem pēc laboratoriskās vai cita veida ekspertīzes, ievērojot likuma "Par atbilstības novērtēšanu 9.</w:t>
            </w:r>
            <w:r w:rsidR="00000000" w:rsidRPr="00000000" w:rsidDel="00000000">
              <w:rPr>
                <w:vertAlign w:val="superscript"/>
                <w:rtl w:val="0"/>
              </w:rPr>
              <w:t xml:space="preserve">3</w:t>
            </w:r>
            <w:r w:rsidR="00000000" w:rsidRPr="00000000" w:rsidDel="00000000">
              <w:rPr>
                <w:rtl w:val="0"/>
              </w:rPr>
              <w:t xml:space="preserve"> panta otrajā daļā noteikto, kā arī ar pilnvarojumu noteikt būtisko prasību konkrēta veida tirgū piedāvātajai transporta enerģijai ievērošanas uzraudzības mehānismu, uz ko norādīts likumprojektā. Papildus lūdzam precizēt noteikumu projekta 1.5. apakšpunktu atbilstoši likuma "Par atbilstības novērtēšanu" 7. panta otrajā daļā norādītajam pilnvarojumam ("Institūcijas, kuras veic tirgus uzraudzību reglamentētajā sfērā, un kārtību, kādā veicama tirgus uzraudzība.").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gāzeļļa - naftas produkts, kas atbilst Regulā 2658/87 noteikto kombinētās nomenklatūras kodiem 2710 19 43 un 2710 20 11 un paredzēts lietošanai visurgājējā tehnikā, lauksaimniecības un mežsaimniecības traktoros, atpūtas kuģos, kā arī dzinējos, kuri minēti normatīvajos aktos par atpūtas kuģu būvniecību, atbilstības novērtēšanu un piedāvāšanu tirgū, normatīvajos aktos par autoceļiem neparedzētās mobilās tehnikas iekšdedzes motoru radīto piesārņojošo vielu emisiju gaisā un normatīvajos aktos par lauksaimniecībā vai mežsaimniecībā izmantojamo traktoru, piekabju un to sastāvdaļu atbilstības novērtēšanu;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normatīvie akti par lauksaimniecībā vai mežsaimniecībā izmantojamo traktoru, piekabju un to sastāvdaļu atbilstības novērtēšanu, proti, Ministru kabineta 2006. gada 27. jūnija noteikumi Nr. 535 "Lauksaimniecībā vai mežsaimniecībā izmantojamo traktoru, piekabju un to sastāvdaļu atbilstības novērtēšanas noteikumi" ir zaudējuši spēku, tādēļ lūdzam atbilstoši precizēt (aktualizēt) noteikumu projekta 2.4. apakšpunktā ietverto atsauci,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ūdeņradis – degviela šķidrā vai gāzveida agregātstāvoklī, ko izmanto degvielas šūnās vai iekšdedzes motoros un kas ietilpst Regulā Nr. 2658/87 noteikto kombinētās nomenklatūras kodu 2804 10 preču pozīcijā.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2.8. apakšpunktu, neskaidrojot Eiropas Parlamenta un Padomes 2023. gada 13. septembra regulā (ES) 2023/1804 par alternatīvo degvielu infrastruktūras ieviešanu un ar ko atceļ Direktīvu 2014/94/ES (turpmāk - regula Nr. 2023/1804), lietoto terminu, kuras prasības (attiecībā uz ūdeņradim piemērojamām prasībām) ieviestas noteikumu projekta 19.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iekļautie nosacījumi attiecas uz transporta enerģijas apriti, kas ir jebkādas darbības ar transporta enerģiju, tai skaitā (bet ne tikai) izejvielu ieguve, audzēšana, ražošana un pārstrāde, kā arī transporta enerģijas ieguve, ražošana, marķēšana, uzglabāšana, pārvadāšana, ievešana, izvešana, izplatīšana, apstrāde, sadedzināšana, realizācija, iznīcināšana. Noteikumos iekļautie nosacījumi neattiecas uz elektroenerģiju, kas ir uzlādēta transportlīdzekļos un tiek izmantota kā transporta enerģija.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svītrot vārdus "kas ir jebkādas darbības ar transporta enerģiju, tai skaitā (bet ne tikai) izejvielu ieguve, audzēšana, ražošana un pārstrāde, kā arī transporta enerģijas ieguve, ražošana, marķēšana, uzglabāšana, pārvadāšana, ievešana, izvešana, izplatīšana, apstrāde, sadedzināšana, realizācija, iznīcināšana", neskaidrojot terminus, kas lietoti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Degvielas importētājs, ražotājs, vairumtirgotājs vai mazumtirgotājs ir atbildīgs par šajos noteikumos minēto prasību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(piem., norādot konkrētus attiecīgo subjektu pienākumus) noteikumu projekta 6. punktu, nedublējot likumprojektā ietverto regulējumu un, ņemot vērā, ka Ministru kabinets nevar noteikt atšķirīgu atbildības sadalījumu, kā tas noteikts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Biodegvielu ražo, sajauc ar fosilo degvielu (naftas produktiem) un pārstrādā, kā arī importē vai ieved Latvijas tirgū saskaņā ar likumu "Par akcīzes nodokli" un normatīvajiem aktiem par akcīzes preču aprites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 punktā pieturzīmi iekavas aizstāt ar pieturzīmi domuzīme,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Latvijā ražotas biodegvielas atbilstības apliecinājuma saņemšanai akcīzes preču noliktavas turētājs no produkta partijas ņem paraugu atbilstoši šo noteikumu </w:t>
            </w:r>
            <w:r w:rsidR="00000000" w:rsidRPr="00000000" w:rsidDel="00000000">
              <w:rPr>
                <w:rtl w:val="0"/>
              </w:rPr>
              <w:t xml:space="preserve">31.2. </w:t>
            </w:r>
            <w:r w:rsidR="00000000" w:rsidRPr="00000000" w:rsidDel="00000000">
              <w:rPr>
                <w:rtl w:val="0"/>
              </w:rPr>
              <w:t xml:space="preserve">apakšpunktā</w:t>
            </w:r>
            <w:r w:rsidR="00000000" w:rsidRPr="00000000" w:rsidDel="00000000">
              <w:rPr>
                <w:rtl w:val="0"/>
              </w:rPr>
              <w:t xml:space="preserve">, paraugu ņemšanas kārtību saskaņojot ar Valsts ieņēmumu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 punktā nepārprotami atspoguļot, vai ar Valsts ieņēmumu dienestu saskaņojama paraugu ņemšana vai paraugu ņemšanas kārtība. Norādām, ja paraugu ņemšanas kārtība noteikta ārējā normatīvajā aktā, šī kārtība pēc tā spēkā stāšanās vairs nav saskaņojama.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Persona, kas īsteno transporta enerģijas apriti, katrā transporta enerģijas aprites posmā, tai skaitā transporta enerģijas tirdzniecības vietās, nodrošina transporta enerģijas kvalitāti apliecinoša dokumenta vai tā kopijas pieejamību un pēc Būvniecības valsts kontroles biroja pieprasījuma uzrāda speciālo atļauju (licenci) komercdarbībai ar akcīzes precēm, transporta enerģijas kvalitātes atbilstību apliecinošu dokumentu vai tā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46. punktā ietverto prasību personai, kas īsteno transporta enerģijas apriti, uzrādīt Būvniecības valsts kontroles birojam speciālo atļauju (licenci) komercdarbībai ar akcīzes precēm vai pamatot šādu prasību anotācijā. Vēršam uzmanību, ka noteikumu projekts izstrādāts, lai noteiktu transporta enerģijas kvalitātes prasības, nevis kontrolētu atļaujas komercdarbībai ar akcīzes precēm. Vienlaikus norādām, ka pašlaik spēkā esošais regulējums, proti, Ministru kabineta 2000. gada 26. septembra noteikumu Nr. 332 "Noteikumi par benzīna un dīzeļdegvielas atbilstības novērtēšanu" (turpmāk - noteikumi Nr. 332) 17. punkts paredz, ka degvielas importētājs, ražotājs, vairumtirgotājs vai mazumtirgotājs pēc Būvniecības valsts kontroles biroja pieprasījuma uzrāda degvielas kvalitātes atbilstību apliecinošus dokumentus, arī Ministru kabineta 2005. gada 18. oktobra noteikumi Nr. 772 "Noteikumi par biodegvielas kvalitātes prasībām, atbilstības novērtēšanu, tirgus uzraudzību un patērētāju informēšanas kārtību" paredz attiecīgās degvielas kvalitātes dokumenta uzrādīšanu uzraudzības institūcijai, nevis attiecīgas komercdarbības atļaujas uzrādīšanu.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ieņēmumu dienests katru gadu pēc Būvniecības valsts kontroles biroja pieprasījumam līdz 1. aprīlim iesniedz Būvniecības valsts kontroles birojam informāciju par Latvijā realizēto transporta enerģijas apjomu (informāciju iegūst saskaņā ar normatīvajiem aktiem akcīzes preču aprites jomā). Valsts ieņēmums informāciju par veiktajām darbībām attiecībā uz konstatētajām neatbilstībām iesniedz Būvniecības valsts kontroles birojam 30 dienu laikā pēc informācijas par konstatētajām neatbilstībām saņemšanas no Būvniecības valsts kontroles biroja.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svītrot norādi "(informāciju iegūst saskaņā ar normatīvajiem aktiem akcīzes preču aprites jomā)", jo šobrīd no attiecīgās normas neizriet, kuram tiesību subjektam informācija jāiegūst saskaņā ar attiecīgajiem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Klimata un enerģētikas ministrija līdz 2026.gada 31.decembrim izstrādā un klimata un enerģētikas ministram iesniedz Ministru kabinetā risinājumu references laboratorijas noteikšanai un izmantošanai šo noteikumu </w:t>
            </w:r>
            <w:r w:rsidR="00000000" w:rsidRPr="00000000" w:rsidDel="00000000">
              <w:rPr>
                <w:rtl w:val="0"/>
              </w:rPr>
              <w:t xml:space="preserve">​5.2. </w:t>
            </w:r>
            <w:r w:rsidR="00000000" w:rsidRPr="00000000" w:rsidDel="00000000">
              <w:rPr>
                <w:rtl w:val="0"/>
              </w:rPr>
              <w:t xml:space="preserve">apakšnodaļā</w:t>
            </w:r>
            <w:r w:rsidR="00000000" w:rsidRPr="00000000" w:rsidDel="00000000">
              <w:rPr>
                <w:rtl w:val="0"/>
              </w:rPr>
              <w:t xml:space="preserve"> noteikto nosacījumu aizstāšanai.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Nr. 108 115. punktam noteikumu projektam, ja nepieciešams, raksta noslēguma jautājumus. Noslēguma jautājumos nosaka pārejas kārtību no pastāvošā tiesiskā regulējuma uz jauno tiesisko regulējumu. Savukārt noteikumu projekta 54. punkts paredz uzdevumu Klimata un enerģētikas ministrijai nākotnes regulējuma izstrādei, nevis pārejas regulējuma izstrādi, tādēļ lūdzam minēto punktu svītrot un ierosinām noteikumu projekta 54. punktā paredzēto uzdevumu ietvert Ministru kabineta sēdes protokollēmuma projektā (turpmāk - lēmuma projekts). Papildus, ņemot vērā, ka noteikumu projekta 8. punktā faktiski iekļauta pārejas kārtība, lūdzam svītrot minēto noteikumu projekta punktu un attiecīgo uzdevumu ietvert lēmuma projektā vai noteikumu projekta noslēguma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kvalitātes un klimatiskās prasības benzīnam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 pielikumā svītrot norādi uz klimatiskajām prasībām, kā arī nepieciešamības gadījumā svītrot attiecīgās prasības, ņemot vērā, ka tostarp no noteikumu projekta 7. un 8. punkta neizriet, ka šādas prasības ir nosakāmas. Līdzīgi lūdzam precizēt arī pārējos pielikumu nosaukumus un to saturu (piem., 3. pielikumā svītrojot norādi uz klimatiskajām prasībām, kā arī norādot uz B7 dīzeļdegvielu, tāpat, piemēram, 6. pielikumā norādot uz degvielām, kurā taukskābju metilesteru (FAME) saturs pēc tilpuma veido ne mazāk kā 96,5 procenti, nevis taukskābju metilesteri (FAME)). Norādām, ka atbilstoši juridiskās tehnikas prasībām tiesību aktu pielikumos ietver tehniskos normatīvus, tabulas, veidlapu paraugus, kartes, zīmējumus u.tml. Pielikumos neietver pastāvīgas tiesību normas un normas, kas neizriet no tiesību akta pamatteksta.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Taukskābju metilesteru (FAME) satura maksimālā robežvērtība nav nosakāma 10, nevis 7 tilpumprocenti, bet blīvuma (15°C temperatūrā) minimālā robežvērtība - svītrojama, ievērojot Eiropas Parlamenta un Padomes 1998. gada 13. oktobra Direktīvas 98/70/EK, kas attiecas uz benzīna un dīzeļdegvielu kvalitāti un ar ko groza Padomes Direktīvu 93/12/EEK (turpmāk - direktīva Nr. 98/70/EK), II pielikumā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projektā nav attiecīgu tabulu, lūdzam precizēt piezīmēs ietvertās atsauces uz tabulu 3.a un 3.b vai papildināt noteikumu projektu ar atbilstošām tabulām.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 apakšpunktu, lūdzam skaidrot, kādēļ noteikumu projektā netiek paredzēts regulējums, kas šobrīd izriet no noteikumu Nr. 332 2., 5. punkta  u.c., nepieciešamības gadījumā atbilstoši papildinot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 Risinājuma apraksts" iekļauto informāciju attiecībā uz to, kurā normatīvajā aktā tiks iekļauts pienākums personām, kas veic degvielas apriti, nodrošināt lai līdz 31.janvārim energoresursu informācijas sistēmā ir augšupielādēti (ievietoti) iepriekšējā kalendārajā gadā patēriņam transportā realizētās transporta enerģijas atbilstības sertifikāti vai atbilstības apliecinājumi. Vēršam uzmanību, ka noteikumu projekta 38. punktā paredzētas vienīgi tiesības Būvniecības valsts kontroles birojam tirgus uzraudzības ietvaros šo noteikumu 6. punktā minētajam komersantam pieprasīt iesniegt un tiesības pārbaudīt transporta enerģijas atbilstības sertifikātus vai atbilstības apliecinājumus.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skaidrot, kā paredzēts izpildīt likuma "Par atbilstības novērtēšanu" 7. panta otrajā daļā ietverto pilnvarojumu noteikt tirgus uzraudzības kārtību. Proti, lai gan anotācijā norādīts, ka Būvniecības valsts kontroles birojam būtu jāizstrādā (jāaktualizē) iekšējā degvielas tirgus uzraudzības kārtība, spēkā esošo kārtību pielāgojot jaunajiem nosacījumiem saskaņā ar iestādes tiesībām izdot iekšējos normatīvos aktus, tomēr vēršam uzmanību, ka tirgus uzraudzības kārtība, ciktāl tā skar privātpersonas, regulējama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9.19. apakšpunktu,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papildināt noteikumu projekta anotācijas 5. sadaļu ar informāciju par regulas Nr. 2023/1804 un Eiropas Parlamenta un Padomes 2023. gada 18. oktobra regulas (ES) 2023/2405 par vienlīdzīgu konkurences apstākļu nodrošināšanu ilgtspējīgam gaisa transportam (ReFuelEU Aviation) prasību ieviešanu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izvērtēt un minētajā anotācijas sadaļā skaidrot direktīvas Nr. 98/70/EK prasību pārņemšanu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 panta 1. punkta (noteic aizliegumu pārdot etilētu benzīnu) pārņemšanu noteikumu projekta 5. punktā (nosaka noteikumu projekta darbības jomu), 3. panta 6. punkta pārņemšanu 1. un 2. pielikumā, 4. panta 1. punkta 1. un 2. rindkopas (attiecas uz dīzeļdegvielu) pārņemšanu 8. punktā (attiecas uz benzīnu);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 panta 1. punkta trešās daļas, 8. panta 3. punkta, 8.a panta 4.-6. 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izvērstāk skaidrot 3. panta 4. punkta pārņemšanu, ņemot vērā, ka katrā no minētā punkta abām daļām paredzēta atšķirīga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ņemot vērā, ka direktīvā Nr. 98/70/EK dalībvalstu rīcības brīvība iekļauta, ne vien minētās direktīvas 3. panta 4. punktā, bet arī 3. panta 3. punktā, 3. panta 6. punktā, 6. panta 1. punktā, 8. panta 2. punkta otrajā teikumā, I, II pielikuma u.c, lūdzam papildināt 5. sadaļu ar informāciju par to, vai ar noteikumu projektu rīcības brīvība ir vai nav izmantota, kā tā ir izmantota, kā arī skaidrot apsvērumus rīcības brīvības izmantošanai vai neizmantošanai.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transporta enerģijas kvalitātes prasībām, atbilstības novērtēšanu un tirgus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nosaukumu atbilstoši noteikumu Nr. 108 90. un 91. punkta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enerģijas kvalitātes prasību, atbilstības novērtēšanas un tirgus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benzīns – jebkura gaistoša minerāleļļa, kas ietilpst Padomes 1987. gada 23. jūlija regulā 2658/87 par tarifu un statistikas nomenklatūru un kopējo muitas tarifu (turpmāk – Regula 2658/87) noteikto kombinētās nomenklatūras kodu 2710 preču pozīcijā un paredzēta motoriem vai dzinējiem ar dzirksteļaizdedzi;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2.1. un 2.3. apakšpunktā norādīt konkrētus kombinētās nomenklatūras kodus, kam jāatbilst benzīnam un dīzeļdegvielai, ievērojot direktīvas Nr. 98/70/EK 2. panta 1. un 3. punktā noteikto. Līdzīgi lūdzam 2.4. apakšpunktā precizēt nomenklatūras kodus, atbilstoši minētajā direktīvā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iekļautie nosacījumi attiecas uz transporta enerģijas apriti, kas ir jebkādas darbības ar transporta enerģiju, tai skaitā (bet ne tikai) izejvielu ieguve, audzēšana, ražošana un pārstrāde, kā arī transporta enerģijas ieguve, ražošana, marķēšana, uzglabāšana, pārvadāšana, ievešana, izvešana, izplatīšana, apstrāde, sadedzināšana, realizācija, iznīcināšana. Noteikumos iekļautie nosacījumi neattiecas uz elektroenerģiju, kas ir uzlādēta transportlīdzekļos un tiek izmantota kā transporta enerģija.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3. punktā svītrot pieturzīmi iekavas, jo tās ir liekas.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benzīnu, kuru izmanto sacīkšu sporta automašīnu iekšdedzes dzinējos ar dzirksteles aizdedzi, ja sacīkšu sporta automašīna noteiktā kārībā ir reģistrēta Ceļu satiksmes drošības direkcijā un transportlīdzekļa reģistrācijas apliecībā ir atzīme “sporta”;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"noteiktā kārībā" aizstāt ar korektu atsauci uz normatīvo aktu jomu, ievērojot noteikumu Nr. 108 137.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Kvalitātes prasības transporta enerģijai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vienveidot noteikumu projektā lietoto terminoloģiju attiecībā uz to, vai noteikumu projektā tiek noteiktas kvalitātes prasības vai kvalitātes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iesniedz Eiropas Komisijā notifikāciju par to, ka Latvija kā valsts ar zemu vasaras gaisa temperatūru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noteiktajai transporta enerģijai izmantos tvaika spiediena atkāpi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minētajam vasaras periodam.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 "notifikāciju" aizstāt ar vārdu "paziņojumu".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Eiropas Parlamenta un Padomes 2023. gada 18. oktobra regulas (ES) 2023/2405 par vienlīdzīgu konkurences apstākļu nodrošināšanu ilgtspējīgam gaisa transportam (ReFuelEU Aviation) (turpmāk - Regula 2023/2405) 2. panta 6. punktā minēto aviācijas degvielu drīkst realizēt uzpildīšanai gaisa kuģos Latvijā tikai, ja tai ir piejaukta Regulas 2023/2405 2. panta 7. punktā noteiktā ilgtspējīgā aviācijas degviela (SAF) Regulas 2023/2405 I pielikumā noteiktajā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 punktā skaitli "2." aizstāt ar skaitli "3.", novēršot tehnisku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Latvijā ražotas biodegvielas atbilstības apliecinājuma saņemšanai akcīzes preču noliktavas turētājs no produkta partijas ņem paraugu atbilstoši šo noteikumu </w:t>
            </w:r>
            <w:r w:rsidR="00000000" w:rsidRPr="00000000" w:rsidDel="00000000">
              <w:rPr>
                <w:rtl w:val="0"/>
              </w:rPr>
              <w:t xml:space="preserve">31.2. </w:t>
            </w:r>
            <w:r w:rsidR="00000000" w:rsidRPr="00000000" w:rsidDel="00000000">
              <w:rPr>
                <w:rtl w:val="0"/>
              </w:rPr>
              <w:t xml:space="preserve">apakšpunktā</w:t>
            </w:r>
            <w:r w:rsidR="00000000" w:rsidRPr="00000000" w:rsidDel="00000000">
              <w:rPr>
                <w:rtl w:val="0"/>
              </w:rPr>
              <w:t xml:space="preserve">, paraugu ņemšanas kārtību saskaņojot ar Valsts ieņēmumu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32. punktā ietverto atsauci, kura nav pabeigta ("šo noteikumu 31.2.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transporta enerģijas veids un kvalitātes rādītāji, atbilstoši pielikumos noteiktajām prasībām, partijas identifikācija un transporta enerģijas daudzums;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par kādiem pielikumiem 33.3. apakšpunktā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Būvniecības valsts kontroles birojs ir normatīvajos aktos par atbilstības novērtēšanu noteiktā tirgus uzraudzības iestāde, kas veic noteiktajos normatīvajos aktos noteiktās tirgus uzraudzības iestādes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Būvniecības valsts kontroles birojs veic normatīvajos aktos par atbilstības novērtēšanu noteiktās tirgus uzraudzības iestādes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Būvniecības valsts kontroles birojs, izmantojot energoresursu informācijas sistēmu, nodrošina transporta enerģijas kvalitātes uzraudzību un kontroli un organizē ikgadējo transporta enerģijas kvalitātes monitoringu, ievēro šajos noteikumos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vai svītrot kā lieku norādi "ievēro šajos noteikumos noteiktās prasības", jo no 37. punkta neizriet, vai kvalitātes monitorings tiek veikts, ievērojot šajos noteikumos noteiktās prasības, vai izmantojot informācijas sistēmu, ievēro noteikumos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pamatinformāciju par komersantu - uzņēmuma nosaukums, reģistrācijas numurs un elektroniskā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44.1. apakšpunktu,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 pārbaudei pievienotie transporta enerģijas kvalitātes atbilstību apliecinošie dokumenti - atbilstības sertifikāts vai atbilstības apliecinājums, pavadzīmes/ piegādes dokumentu kopija;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44.5. apakšpunktā simbolu "/" aizstāt ar saikli "un" vai saikli "vai', jo no noteikumu projekta nav skaidrs, vai ar simbolu "/" tiek saprasts saiklis "un" vai saiklis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ieņēmumu dienests katru gadu pēc Būvniecības valsts kontroles biroja pieprasījumam līdz 1. aprīlim iesniedz Būvniecības valsts kontroles birojam informāciju par Latvijā realizēto transporta enerģijas apjomu (informāciju iegūst saskaņā ar normatīvajiem aktiem akcīzes preču aprites jomā). Valsts ieņēmums informāciju par veiktajām darbībām attiecībā uz konstatētajām neatbilstībām iesniedz Būvniecības valsts kontroles birojam 30 dienu laikā pēc informācijas par konstatētajām neatbilstībām saņemšanas no Būvniecības valsts kontroles biroja.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katru gadu pēc Būvniecības valsts kontroles biroja pieprasījuma līdz 1. aprīlim iesniedz Būvniecības valsts kontroles birojam informāciju par Latvijā realizēto transporta enerģijas apjomu (informāciju iegūst saskaņā ar normatīvajiem aktiem akcīzes preču aprites jomā). Valsts ieņēmumu dienests informāciju par veiktajām darbībām attiecībā uz konstatētajām neatbilstībām iesniedz Būvniecības valsts kontroles birojam 30 dienu laikā pēc informācijas par konstatētajām neatbilstībām saņemšanas no Būvniecības valsts kontroles biroja.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Degvielas paraugu ņemšanu un testēšanu veic akreditētā atbilstības novērtēšanas institūcija, izmantojot akreditētu testēšanas laboratoriju un ievērojot šo noteikumu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noteiktos nosacījumus un ievērojot testēšanas un analītiskās metodes, kas noteiktas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un standartā LVS EN 16640:2017 "Bioloģiskas izcelsmes produkti. Bioloģiskas izcelsmes oglekļa saturs. Bioloģiskas izcelsmes oglekļa satura noteikšana ar radioaktīvā oglekļa metodi".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7., 9., 10., 11., 13., 14., 15., 16. un 20. punktā nav norādīts uz testēšanas un analītiskās metodēm, tādēļ aicinām precizēt noteikumu projekta 49. punktā ietvertās atsauces,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ar noteikumu projekta izdošanas tiesiskā pamata norādi, kur norādīts, ka šie noteikumi tiek izdoti uz Transporta enerģijas likuma 4. panta desmitās daļas, 12. panta piektās daļas un likuma "Par atbilstības novērtēšanu" 7. panta un 9.</w:t>
            </w:r>
            <w:r w:rsidR="00000000" w:rsidRPr="00000000" w:rsidDel="00000000">
              <w:rPr>
                <w:vertAlign w:val="superscript"/>
                <w:rtl w:val="0"/>
              </w:rPr>
              <w:t xml:space="preserve">3</w:t>
            </w:r>
            <w:r w:rsidR="00000000" w:rsidRPr="00000000" w:rsidDel="00000000">
              <w:rPr>
                <w:rtl w:val="0"/>
              </w:rPr>
              <w:t xml:space="preserve"> panta otrās daļas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sadaļas "Vai ir izvērtēti alternatīvie risinājumi?" un "Apraksts" atbilstoši vadlīnijās norādītajam, proti, pirms tiesību akta sagatavošanas jāpārliecinās, ka identificēto un aprakstīto problēmu nevar atrisināt kādā citā veidā. Ja projekta izstrādes pamatojumā identificēto problēmu nevar atrisināt citā veidā, lūdzam attiecīgajā sadaļā norādīt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4.2. sadaļā "Cita informācija" iekļauto informāciju, jo atbilstoši vadlīnijās norādītajam - ja spēkā esošā tiesību akta atzīšana par spēku zaudējušu ir paredzēta izstrādātajā tiesību akta projektā, to norāda nevis šajā apakšpunktā, bet anotācijas 1.sadaļā.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standarts LVS EN 228+A1:2017 “Autodegvielas. Bezsvina benzīns. Prasības un testēšanas metodes” (šis standarts ir attiecināms arī uz maisījumos esošo benzīnu);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tulkošana nav nepieciešama arī standartam LVS EN 590:2022 "Automobiļu degvielas. Dīzeļdegviela. Prasības un testēšanas metodes", LVS EN 15940:2023 “Automobiļu degvielas. Sintētiski vai ar hidroattīrīšanas paņēmienu iegūta parafinizētā dīzeļdegviela. Prasības un testēšanas metodes”, standartam LVS EN ISO 13686:2014 "Dabasgāze. Kvalitātes raksturošana",  LVS EN ISO 13443:2007 L "Dabasgāze. Standartapstākļi", LVS EN ISO 3170:2005 L "Naftas šķidrie produkti - Ar roku vadāma paraugu ņemšana", nepieciešamības gadījumā attiecīgi papildinot 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23-TA-3014</w:t>
    </w:r>
    <w:r>
      <w:br/>
    </w:r>
    <w:r w:rsidR="00000000" w:rsidRPr="00000000" w:rsidDel="00000000">
      <w:rPr>
        <w:rtl w:val="0"/>
      </w:rPr>
      <w:t xml:space="preserve">Izdrukāts 06.12.2024.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23-TA-3014</w:t>
    </w:r>
    <w:r>
      <w:br/>
    </w:r>
    <w:r w:rsidR="00000000" w:rsidRPr="00000000" w:rsidDel="00000000">
      <w:rPr>
        <w:rtl w:val="0"/>
      </w:rPr>
      <w:t xml:space="preserve">Izdrukāts 06.12.2024.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Atzinumi_23-TA-3014.docx</dc:title>
</cp:coreProperties>
</file>

<file path=docProps/custom.xml><?xml version="1.0" encoding="utf-8"?>
<Properties xmlns="http://schemas.openxmlformats.org/officeDocument/2006/custom-properties" xmlns:vt="http://schemas.openxmlformats.org/officeDocument/2006/docPropsVTypes"/>
</file>