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Nacionālās industriālās politikas pamatnostādņu 2021. – 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Pielikums Nr.1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1. pielikuma sadaļā "1.1. Esošās situācijas apraksts un rezultatīvie rādītāji" ceturtās rindkopas teikumu "2023. gadā vidējā bruto darba samaksa sasniedza 1537 .", norādot darba samaksas naudas vienību.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Solveiga Siliņa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29.10.2024.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29.10.2024.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