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Atlases kārtas ietvaros sasniedzamie uzraudzības rādītāji un to vērtības, kas sasniedzamas līdz 2029. gada 31. decembrim tiek noteiktas Ministru kabineta rīkojumā ar kuru tiek apstiprināts ierobežotas projektu iesnieguma atlases projektu iesniedzēju saraksts Eiropas Savienības kohēzijas politikas programmas 2021. – 2027. gadam 2.1.1. specifiskā atbalsta mērķa “Energoefektivitātes veicināšana un siltumnīcefekta gāzu emisiju samazināšana” 2.1.1.6. pasākuma “Pašvaldību ēku energoefektivitātes paaugstināšana” pirmajā projektu iesniegumu atlases kārtā (turpmāk - Ministru kabineta rīkojums).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Pārskatāmībai un vienotai pieejai lūdzam MK noteikumos norādīt uz pasākumu un atlases kārtu attiecināmos rādītājus un to sasniedzamās vērtības, atrunājot, ka precīzs sadalījums projektu līmenī tiks noteikts Ministru kabineta rīkojumā. Tāpat vēršam uzmanību, ka 27.punktā un 40.1.apakšpunktā ir atsauce uz MK noteikumos minētajiem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Atlases kārtas ietvaros plānotais un pieejamais kopējais finansējums ir ne mazāks kā 7 647 059 </w:t>
            </w:r>
            <w:r w:rsidR="00000000" w:rsidRPr="00000000" w:rsidDel="00000000">
              <w:rPr>
                <w:i w:val="1"/>
                <w:rtl w:val="0"/>
              </w:rPr>
              <w:t xml:space="preserve">euro</w:t>
            </w:r>
            <w:r w:rsidR="00000000" w:rsidRPr="00000000" w:rsidDel="00000000">
              <w:rPr>
                <w:rtl w:val="0"/>
              </w:rPr>
              <w:t xml:space="preserve">, tai skaitā Eiropas Reģionālā attīstības fonda finansējums – 6 500 000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1 147 059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punktu, norādot nacionālā līdzfinansējuma apmēra sadalījumu starp pašvaldību budžeta finansējumu un privāto finansējumu, ņemot vērā, ka noteikumu projekta 8.punktā norādīts, ka nacionālā līdzfinansējuma summu veido pašvaldību un privātais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6.punktā norādīt noteikumu projekta 8.punktā norādīto finansējumu un tā sadalījumu pa finansējuma avotiem (ņemot vērā iebildumu pie noteikumu projekta 8.punkta), t. sk. norādot prognozēto finansējuma apmēra sadalījumu pa visiem pasākuma īstenošanas gadiem (līdz 2029.gadam ieskaitot), kā arī katrā gadā atsevišķi norādīt finansējuma sadalījumu pa avotiem (ERAF finansējums un pašvaldības budžeta finansējums (EUR izteiksmē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aizpildīt 5.3. apakšpunktu atbilstoši 3.3.apakšpunktam.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3.sadaļas 2.3.apakšpunktā, saskaitot pa gadiem norādīto ietekmi uz pašvaldību budžetiem, tā atšķiras par 1 euro salīdzinājumā ar noteikumu projekta 8.punktā norādīto pašvaldību un privātā līdzfinansējuma apmēru, līdz ar to anotācijas 3.sadaļā lūdzam precizēt 2.3. un 3.3. apakšpunktus, vienlaicīgi precizējot arī 2. un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īsteno pašvaldības, pašvaldības kapitālsabiedrības vai publiski privātās kapitālsabiedrības ēkā vai ēkas daļā, kurā netiek veikta saimnieciskā darbība, izņemot komercdarbības atbalstu tādai ēkai vai ēkas daļai, kurā īsteno sabiedriskos pakalpojumus (ūdenssaimniecības, siltumapgādes vai valsts vai pašvaldības apmaksātus veselības aprūpes pakalpojumus), kuru sniegšanas nodrošināšanai atbalstu piešķir kā kompensāciju par sabiedriskajiem pakalpojumiem dažiem uzņēmumiem, kuriem uzticēts sniegt pakalpojumus ar vispārēju tautsaimniecisku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kā rīkoties gadījumos, ja ēkā tiek sniegti deleģētie pakalpojumi ar vispārēju tautsaimniecisku nozīmi, lūdzam noteikumu projekta 18.punktu sadalīt divos atsevišķos punktos vai vismaz divos teikumos, kuros skaidri norāda gadījumus, kad projekts ir saistīts ar saimniecisku darbību un kad tas nav saistīts ar saimniecisku darbību, un kas katrā gadījumā var iesniegt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pašvaldības, pašvaldības kapitālsabiedrības vai publiski privātās kapitālsabiedrības ēkā vai ēkas daļā, kurā netiek veikta saimnieciskā darbība. Ja ēkā vai ēkas daļā sniedz sabiedriskos pakalpojumus (ūdenssaimniecības, siltumapgādes vai valsts vai pašvaldības apmaksātus veselības aprūpes pakalpojumus), kuru sniegšanas nodrošināšanai atbalstu piešķir kā kompensāciju par sabiedriskajiem pakalpojumiem dažiem uzņēmumiem, kuriem uzticēts sniegt pakalpojumus ar vispārēju tautsaimniecisku nozīmi, tad projektu iesniedz un īsteno uzņēmums, kuram ir deleģēts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attiecināmās izmaksas nepārsniedz ēkā īstenoto sabiedrisko pakalpojumu (ūdenssaimniecības, siltumapgādes vai valsts vai pašvaldības apmaksāto veselības aprūpes pakalpojumu), ja attiecināms,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šajā punktā minētais neattiecas uz visiem projekta iesniedzējiem, lūdzam precizēt šī punkta redakciju, skaidri norādot, uz kuriem projekta iesniedzējiem attiecas šajā punktā minētais.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izņemot sabiedrisko pakalpojumu sniedzēju, izvērtē ēkā papildinošās saimnieciskās darbības, parasto papildpakalpojumu sniegšanu un citas saimnieciskās darbības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šī punkta formulējumu, skaidri norādot, kādi nosacījumi projekta iesniedzējam ir jāievēro, kāds ir papildinošās saimnieciskās darbības apmērs, jaudas metode, ka punkts nav attiecināms uz 22. punktā norādīto kultūras mērķu infrastruktūru, kā arī lūdzam atšifrēt šajā punktā lietoto terminoloģiju "papildinošā saimnieciskā darbība", "papildpakalpojumi", "cita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projektu pamatojošās dokumentācijas sagatavošanas (izņemot projekta iesnieguma veidlapas aizpildīšanu)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attiecināmo izmaksu noteikšanas nosacījumiem  Eiropas Savienības kohēzijas politikas programmas 2021.-2027.gada plānošanas periodā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paredzēt noteikumu projekta 28.1.apakšpunktā minētajām izmaksām ierobežojumu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Finansējuma saņēmējam avansu var piešķirt līdz 50 procentiem no projektam piešķirtā Eiropas Reģionālā attīstības fonda finansējuma, ievērojot, ka avansu var izmaksāt vairākos maksājumos un avansa un starpposma maksājumu kopsumma nepārsniedz 90 procentus no projektam piešķirtā Eiropas Reģionālā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saņēmēji pasākuma atlases kārtas ietvaros ir paredzētas arī pašvaldības, lūdzam papildināt punktu, ka  pamatojumam jāatbilst spējai avansu izlietot sešu mēnešu laikā "</w:t>
            </w:r>
            <w:r w:rsidR="00000000" w:rsidRPr="00000000" w:rsidDel="00000000">
              <w:rPr>
                <w:b w:val="1"/>
                <w:rtl w:val="0"/>
              </w:rPr>
              <w:t xml:space="preserve">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Atlases kārtas ietvaros projekta iesniedzējs, kas pēc projekta iesnieguma apstiprināšanas kļūst par finansējuma saņēmēju, ir Ministru kabineta rīkojumā noteiktā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skaidrus  un izsekojamus atlases kārtas nosacījumus, aicinām izvērtēt projekta iesniedzēju noteikt pie  noteikumu projekta virzības. Vēršam uzmanību, ka esošajā stadijā nav viennozīmīgi skaidrs, uz kāda Ministru kabineta rīkojuma pamata un kad tie tiks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ūdenssaimniecības vai siltumapgādes sabiedrisko pakalpojumu sniedzējam vai valsts vai pašvaldības apmaksātu veselības aprūpes pakalpojumu sniedzējam piešķirtās ekskluzīvās vai īpašās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19.5.apakšpunktu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 nosakot, ka līgumā/lēmumā jābūt ietvertai īpašo vai ekskluzīvo tiesību būtībai, kā to nosaka iepriekšminētā EK lēmuma 4.panta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19.5.apakšpunktu izteikt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ekskluzīvo vai īpašo tiesību, kuras uzņēmumam piešķīrusi institūcija, kura uzlikusi VTNP sniegšanas pienākumu,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Kultūras mērķu infrastruktūrai ieņēmumi no saimnieciskās darbības nevar pārsniegt 50% no kultūras jomas pakalpojumu sniedzēja gada budžeta (ieņēmumu daļas) konkrētajā infrastruktūrā (attiecināms, ja atbalsta pretendents plāno lūgt atbalstu saimnieciski neizmantojamai kultūras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ietvaros atbalsts plānots arī kultūras infrastruktūras objekiem, lūdzam papildināt noteikumu projektu vai anotāciju ar norādi, ka pēc ES fondu ieguldījumu veikšanas attiecīgais  kultūras objekts nodrošinās pašpietiekamību un būs spējīgs nodrošināt funkcionēšanu bez papildus publiskā atbalsta saņemšanas, t.sk. nodrošināt tā darbību atbilstoši noteiktajām funkcijām, nodrošināt atbilstošu infrastruktūras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sagatavo projekta iesniegumu atbilstoši projektu iesniegumu atlases nolikumā noteiktajām prasībām un iesniedz to sadarbības iestādē, izmantojot Kohēzijas politikas fondu vadības informācijas sistēmu, tai skaitā apliecina projekta iesniedzēja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projekta iesniedzēja pienākumu, lūdzam aizstāt noteikumu projekta 24. punktā vārdus "apliecina projekta iesniedzēja interešu konflikta neesamību" ar vārdiem "paraksta interešu konflikta neesamības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28.</w:t>
            </w:r>
            <w:r w:rsidR="00000000" w:rsidRPr="00000000" w:rsidDel="00000000">
              <w:rPr>
                <w:rtl w:val="0"/>
              </w:rPr>
              <w:t xml:space="preserve"> punktā minētās izmaksas ir attiecināmas, ja ar saimniecisko darbību nesaistītā projekta ēkā vai ēkas daļā, kurā netiek veikta saimnieciskā darbība, tiek veikta papildinoša saimnieciskā darbība vai sniegti parastie papildpakalpojumi, kas kopumā nepārsniedz 20 % no ēkas kopējās gada jaudas (platības, laika vai finanšu izteiksmē),  vai ēkas daļas, kurā netiek veikta saimnieciskā darbība, gada jaudas (platības, laika vai finanšu izteiksmē). Šā punkta nosacījumi nav attiecināmi uz šo noteikumu </w:t>
            </w:r>
            <w:r w:rsidR="00000000" w:rsidRPr="00000000" w:rsidDel="00000000">
              <w:rPr>
                <w:rtl w:val="0"/>
              </w:rPr>
              <w:t xml:space="preserve">18.</w:t>
            </w:r>
            <w:r w:rsidR="00000000" w:rsidRPr="00000000" w:rsidDel="00000000">
              <w:rPr>
                <w:rtl w:val="0"/>
              </w:rPr>
              <w:t xml:space="preserve"> punktā minētajiem sabiedrisko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MK noteikumu lasīšanu, lūdzam nosacījumus, kas attiecas uz katru no projekta iesniedzējiem izdalīt atsevišķi, secīgi vienu aiz otra, jo šobrīd gan papildinošās saimnieciskās darbības nosacījumi un definīcijas, gan nesaimnieciskas ēkas kritērijs, gan nosacījumi sabiedrisko pakalpojumu sniedzējiem ir izmētāti pa noteikumiem, tādējādi daudzviet jālieto palīgteikumi, uz ko tieši minētais punkts attiecas, vai uz ko neattiecas. Skatīt.18.-23.p., 33.-35.punktus.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projektu īsteno saskaņā ar noslēgtajā civiltiesiskajā līgumā par projekta īstenošanu noteikto termiņu, bet ne ilgāk 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finansējuma saņēmējus ar dažādu juridisko statusu, lūdzam papildināt noteikumu projekta 38.punktu, ka tiks noslēgta arī vienošanās par projekta īstenošanu - līdzīgi kā tas ir noteikts noteikumu projekta 42.punktā un 48.2.apakšpunktā. Vienlaikus lūdzam atbilstoši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ja projekta ietvaros tiek uzstādītas šo noteikumu 28.5. apakšpunktā minētās iekārtas, uzkrāj enerģijas patēriņa datus kalendāra gada ietvaros visā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40.3.apakšpunktā norādīto atsauci uz noteikumu projekta 28.5.apakšpunktu, ņemot vērā, ka 29.5.apakšpunkts neparedz regulējumu par iekārtām, un nepieciešamības gadījumā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lietotās atsauces uz saistošajiem noteikumu projekta punktiem arī noteikumu projekta 20.punktā.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konstatēts, ka pārsniegts šo noteikumu </w:t>
            </w:r>
            <w:r w:rsidR="00000000" w:rsidRPr="00000000" w:rsidDel="00000000">
              <w:rPr>
                <w:rtl w:val="0"/>
              </w:rPr>
              <w:t xml:space="preserve">33.</w:t>
            </w:r>
            <w:r w:rsidR="00000000" w:rsidRPr="00000000" w:rsidDel="00000000">
              <w:rPr>
                <w:rtl w:val="0"/>
              </w:rPr>
              <w:t xml:space="preserve"> . punktā minētais 20 % apjoms no ēkas kopējās gada jaudas vai no ēkas daļas gada jaudas projekta ieviešanas gaitā vai projekta dzīves ciklā (tajā skaitā infrastruktūras amortizācijas periodā), kurā netiek veikta saimnieciskā darbība, finansējuma saņēmējam proporcionāli tai ēkas daļai (platības, laika vai finanšu izteiksmē), par kuru kopumā ir konstatēts pārkāpums, ir pienākums atmaksāt sadarbības iestādei visu projekta ietvaros saņemto nelikumīgo komercdarbības atbalstu kopā ar procentiem par attiecīgo gadu, kurā pārsniegts šo noteikumu </w:t>
            </w:r>
            <w:r w:rsidR="00000000" w:rsidRPr="00000000" w:rsidDel="00000000">
              <w:rPr>
                <w:rtl w:val="0"/>
              </w:rPr>
              <w:t xml:space="preserve">33.</w:t>
            </w:r>
            <w:r w:rsidR="00000000" w:rsidRPr="00000000" w:rsidDel="00000000">
              <w:rPr>
                <w:rtl w:val="0"/>
              </w:rPr>
              <w:t xml:space="preserve"> punktā noteiktais 20 % apjoms no ēkas kopējās gada jaudas vai ēkas daļas gada jaudas, kurā netiek veikta saimnieciskā darbība,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lūdzam precizēt noteikumu projekta 43. punktu, svītrojot vārdu "visu". Lūdzam pēc analoģijas veikt labojumus noteikumu projekta 44. un 45.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sadarbības partneris ir šo noteikumu </w:t>
            </w:r>
            <w:r w:rsidR="00000000" w:rsidRPr="00000000" w:rsidDel="00000000">
              <w:rPr>
                <w:rtl w:val="0"/>
              </w:rPr>
              <w:t xml:space="preserve">18.</w:t>
            </w:r>
            <w:r w:rsidR="00000000" w:rsidRPr="00000000" w:rsidDel="00000000">
              <w:rPr>
                <w:rtl w:val="0"/>
              </w:rPr>
              <w:t xml:space="preserve">  punktā minēto sabiedrisko pakalpojumu sniedzējs, tad komercdarbības atbalstu, kas piešķirts šo noteikumu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neparedz sadarbības partneru piesaisti. Ievērojot minēto, lūdzam svītrot noteikumu projekta 49. punktu vai atbilstoši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norādīto informāciju par investīcijas ietekmi uz tautsaimniecību papildināt ar pēc iespējas izmērāmiem faktiski sagaidāmiem rezultātiem/rādītājiem. Skaidrojam,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29.04.2024.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29.04.2024.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