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ir plānots nodrošināt 100.</w:t>
            </w:r>
            <w:r w:rsidR="00000000" w:rsidRPr="00000000" w:rsidDel="00000000">
              <w:rPr>
                <w:vertAlign w:val="superscript"/>
                <w:rtl w:val="0"/>
              </w:rPr>
              <w:t xml:space="preserve">2</w:t>
            </w:r>
            <w:r w:rsidR="00000000" w:rsidRPr="00000000" w:rsidDel="00000000">
              <w:rPr>
                <w:rtl w:val="0"/>
              </w:rPr>
              <w:t xml:space="preserve">1 apakšpunktā noteiktos pienākumus aptiekām - ka pasūtījuma noformēšanas laikā ir nodrošināts, ka aptiekas (tās filiāles) darbinieks (farmaceits, farmaceita asistents) zāļu saņēmējam sniedz attālinātu bezmaksas informāciju par minētajām zālēm un zāļu lietošanu. Vai aptiekām būs nepieciešams algot papildus darbinieku, kura pienākumos ietilps šādu attālinātu konsultāciju sniegšana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šāds pienākums ir nosakāms katra pasūtījuma noformēšanas laikā, vai tikai pēc pasūtītāja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2.sadaļā nav veikts novērtējums par administratīvā sloga pieaugumu tām aptiekām, uz kurām attieksies Noteikumu 67.</w:t>
            </w:r>
            <w:r w:rsidR="00000000" w:rsidRPr="00000000" w:rsidDel="00000000">
              <w:rPr>
                <w:vertAlign w:val="superscript"/>
                <w:rtl w:val="0"/>
              </w:rPr>
              <w:t xml:space="preserve">3</w:t>
            </w:r>
            <w:r w:rsidR="00000000" w:rsidRPr="00000000" w:rsidDel="00000000">
              <w:rPr>
                <w:rtl w:val="0"/>
              </w:rPr>
              <w:t xml:space="preserve"> punkts. Aicinām papildināt minēto sadaļu ar administratīvā sloga potenciālajām izmaiņām minētajiem aptieku īpašniekiem.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juridiska persona, kurai saskaņā ar normatīvajiem aktiem par farmaceitiskās darbības licencēšanas noteikumiem ir Zāļu valsts aģentūras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ir veiktas izmaiņas, turpmāk nosakot, ka zāles vairumtirdzniecībā drīkst izplatīt tikai juridiska persona, nevis komersants vai persona, kas reģistrēta Valsts ieņēmumu dienestā kā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Šo noteikumu 67.</w:t>
            </w:r>
            <w:r w:rsidR="00000000" w:rsidRPr="00000000" w:rsidDel="00000000">
              <w:rPr>
                <w:vertAlign w:val="superscript"/>
                <w:rtl w:val="0"/>
              </w:rPr>
              <w:t xml:space="preserve">3 </w:t>
            </w:r>
            <w:r w:rsidR="00000000" w:rsidRPr="00000000" w:rsidDel="00000000">
              <w:rPr>
                <w:rtl w:val="0"/>
              </w:rPr>
              <w:t xml:space="preserve">punkts stājas spēkā 2026.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noteikto spēkā stāšanās termiņu, lai noteiktais pārejas periods būtu samērīgs, ņemot vērā, ka aptiekām būs jāveic pielāgojumi savās IT sistēmās (jaunas informācijas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Noteikumi neattiecas uz veterinārajām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punktu svītrot vai anotācijā skaidrot, kāpēc atsevišķā punktā tiek noteikts, ka šie noteikumi neattiecas uz veterinārajām zālēm. Pēc būtības Noteikumu 2.punktā jau ir uzskaitījums, uz kādām zālēm šie Noteikumi attiecas, un par cik veterinārās zāles tur nav minētas, ir skaidrs, ka uz tām Noteikumi nav attiecināmi.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zāļu vairumtirgotājiem, kuri izplata zāles Latvijā saskaņā ar Farmācijas likuma 25.</w:t>
            </w:r>
            <w:r w:rsidR="00000000" w:rsidRPr="00000000" w:rsidDel="00000000">
              <w:rPr>
                <w:vertAlign w:val="superscript"/>
                <w:rtl w:val="0"/>
              </w:rPr>
              <w:t xml:space="preserve">1</w:t>
            </w:r>
            <w:r w:rsidR="00000000" w:rsidRPr="00000000" w:rsidDel="00000000">
              <w:rPr>
                <w:rtl w:val="0"/>
              </w:rPr>
              <w:t xml:space="preserve"> panta nosacījumiem (citā Eiropas Ekonomikas zonas valstī izsniegta speciālā atļauja (licence) zāļu vairumtirdzniecībai vai zāļu ražošanai/importēšanai), attiecas šajos noteikumos zāļu vairumtirgotājam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minētais punkts tiek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10.03.2025.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10.03.2025.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