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Mediju politikas pamatnostādņu īstenošanas plāns 2025.–2027.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par sabiedrības iesniegtajiem priekšlikumiem)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Mediju politikas pamatnostādņu īstenošanas plāns 2025.–2027.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komerciālie elektroniskie plašsaziņas līdzekļi ir vienlīdz svarīgi ar sabiedrisko elektronisko plašsaziņas līdzekli, lai Latvijā pastāvētu droša un stipra informatīvā telpa, Mediju politikas pamatnostādņu īstenošanas plānā 2025.-2027.gadam būtu jāparedz konkrēti jauni uzdevumi un pasākumi komerciālo elektronisko plašsaziņas līdzekļu stiprināšanai.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lūdzam papildināt plānu ar šādiem pasākumiem: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Nr. p. k.: “1.2.14.”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Pasākums: “Izstrādāt vienotu kārtību tam, kādā veidā publiskais sektors organizē un iepērk komunikācijas kampaņas, ņemot vērā, ka sabiedriskais medijs vairs nedarbojas komerciālās reklāmas tirgū.”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Darbības rezultāts: “Izstrādāti kritēriji, kādā valsts pārvalde norāda prasības iepirkuma dokumentācijā un veic iepirkumu vērtēšanu attiecībā uz komunikāciju iepirkumiem.”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Rezultatīvais rādītājs: “Sabiedriskais medijs vairs netiek norādīts kā galvenais informācijas izvietošanas avots (tikai kā papildus) valsts pārvaldes (publiskā sektora) veikto iepirkumu tehniskajās specifikācijās un vērtēšanas kritērijos.”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institūcija: “VK.”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Līdzatbildīgās institūcijas: “KM, NEPLP, SEPLP.”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Izpildes termiņš: “2026.gada I pusgads.”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Nr. p. k.: “2.2.4.”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Pasākums: “Nodrošināt atbalsta instrumentu komerciālo, nekomerciālo un sabiedrisko radio programmu veidotājiem apraides izmaksu segšanai.”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Darbības rezultāts: “Daļēji vai pilnībā segtas komerciālo, nekomerciālo un sabiedrisko radio programmu apraides izmaksas.”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Rezultatīvais rādītājs: “Daļēji vai pilnībā segtas komerciālo, nekomerciālo un sabiedrisko radio programmu apraides izmaksas.”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institūcija: “KM.”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Līdzatbildīgās institūcijas: “NEPLP, SEPLP.”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Izpildes termiņš: “2026.gada I pusgads.”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komerciālie elektroniskie plašsaziņas līdzekļi ir vienlīdz svarīgi ar sabiedrisko elektronisko plašsaziņas līdzekli, lai Latvijā pastāvētu droša un stipra informatīvā telpa, Mediju politikas pamatnostādņu īstenošanas plānā 2025.-2027.gadam būtu jāparedz konkrēti jauni uzdevumi un pasākumi komerciālo elektronisko plašsaziņas līdzekļu stiprināšanai.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lūdzam papildināt plānu ar šādiem pasākumiem: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Nr. p. k.: “1.2.14.”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Pasākums: “Izstrādāt vienotu kārtību tam, kādā veidā publiskais sektors organizē un iepērk komunikācijas kampaņas, ņemot vērā, ka sabiedriskais medijs vairs nedarbojas komerciālās reklāmas tirgū.”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Darbības rezultāts: “Izstrādāti kritēriji, kādā valsts pārvalde norāda prasības iepirkuma dokumentācijā un veic iepirkumu vērtēšanu attiecībā uz komunikāciju iepirkumiem.”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Rezultatīvais rādītājs: “Sabiedriskais medijs vairs netiek norādīts kā galvenais informācijas izvietošanas avots (tikai kā papildus) valsts pārvaldes (publiskā sektora) veikto iepirkumu tehniskajās specifikācijās un vērtēšanas kritērijos.”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institūcija: “VK.”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Līdzatbildīgās institūcijas: “KM, NEPLP, SEPLP.”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Izpildes termiņš: “2026.gada I pusgads.”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Nr. p. k.: “2.2.4.”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Pasākums: “Nodrošināt atbalsta instrumentu komerciālo, nekomerciālo un sabiedrisko radio programmu veidotājiem apraides izmaksu segšanai.”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Darbības rezultāts: “Daļēji vai pilnībā segtas komerciālo, nekomerciālo un sabiedrisko radio programmu apraides izmaksas.”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Rezultatīvais rādītājs: “Daļēji vai pilnībā segtas komerciālo, nekomerciālo un sabiedrisko radio programmu apraides izmaksas.”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institūcija: “KM.”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Līdzatbildīgās institūcijas: “NEPLP, SEPLP.”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Izpildes termiņš: “2026.gada I pusgads.”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Balode (NEPLP)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28.04.2025.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28.04.2025.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