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jauniem ceļiem Rail Baltica projekta īstenošanas rezultātā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svītrot norādīto, ka Satiksmes ministrija izvērtēs iespēju vērsties pie Finanšu ministrijas ar pieteikumu par finanšu līdzekļu piešķiršanu no valsts budžeta programmas “Līdzekļi neparedzētiem gadījumiem”, jo ziņojumā minētais nepieciešamais valsts budžeta finansējums mērķdotācijas piešķiršanai Rail Baltica projekta ietvaros no jauna izbūvētajiem un pārņemtajiem pašvaldības nozīmes ceļa posmiem neatbilst tādam, kas pieprasāms no valsts budžeta programmas "Līdzekļi neparedzētiem gadījumiem". Ja budžeta sagatavošanas procesā papildu finansējums Satiksmes ministrijai ziņojumā minētajam mērķim netiks piešķirts, tad Satiksmes ministrijai būs jārod risinājums tās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norādīts, ka pēc būvdarbu pabeigšanas, nepieciešams veidot (kur tas nepieciešams izstrādāt un īstenot zemes ierīcības projektus) un veikt nekustamā īpašuma reģistrāciju saskaņā ar likumu "Par nekustamā īpašuma ierakstīšanu zemesgrāmatās" un likumu "Par valsts un pašvaldību zemes īpašuma tiesībām un to nostiprināšanu zemesgrāmatās", </w:t>
            </w:r>
            <w:r w:rsidR="00000000" w:rsidRPr="00000000" w:rsidDel="00000000">
              <w:rPr>
                <w:u w:val="single"/>
                <w:rtl w:val="0"/>
              </w:rPr>
              <w:t xml:space="preserve">līdz ar ko pašvaldībām tiks nodoti ceļi vai to posmi, kas jau ir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tālāk šajā pašā ziņojuma sadaļā, kur uzskaitītas galvenās pašvaldības veicamās darbības valsts īpašuma pieņemšanas – nodošanas procesā norādīts, </w:t>
            </w:r>
            <w:r w:rsidR="00000000" w:rsidRPr="00000000" w:rsidDel="00000000">
              <w:rPr>
                <w:u w:val="single"/>
                <w:rtl w:val="0"/>
              </w:rPr>
              <w:t xml:space="preserve">ja pašvaldība ir pārņēmusi uz valsts vārda Ministrijas personā zemesgrāmatā nostiprinātu nekustamo īpašumu</w:t>
            </w:r>
            <w:r w:rsidR="00000000" w:rsidRPr="00000000" w:rsidDel="00000000">
              <w:rPr>
                <w:rtl w:val="0"/>
              </w:rPr>
              <w:t xml:space="preserve">, pašvaldība sagatavo un iesniedz nostiprinājuma lūgumu īpašuma tiesību grozīšanai zemesgrāmatā, reģistrējot pašvaldību kā īpašnieku (3.punkts darbību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norādītā iespējams secināt, ka varētu pastāvēt arī gadījumi, kad pašvaldība pārņem nekustamos īpašumus, kas zemesgrāmatā nav nostiprināti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4.punktā sniegto skaidrojumu, ka ceļi sākotnēji tiks izbūvēti un reģistrēti zemesgrāmatā kā valstij Satiksmes ministrijas personā piederoši un tikai tad nodoti pašvaldībām, aicinām precizēt pašvaldības veicamo darbību uzskaitījuma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norādīts, ka pašvaldības nozīmes ceļi vai to posmi no valsts pašvaldību īpašumā tiks nodoti bez atlīdzības saskaņā ar Publiskas personas mantas atsavināšanas likuma 42.panta pirmo daļu, 43.pantu </w:t>
            </w:r>
            <w:r w:rsidR="00000000" w:rsidRPr="00000000" w:rsidDel="00000000">
              <w:rPr>
                <w:u w:val="single"/>
                <w:rtl w:val="0"/>
              </w:rPr>
              <w:t xml:space="preserve">un likuma “Par autoceļiem” 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pirmo daļu valsts autoceļi un to zemes, tai skaitā ceļu zemes nodalījuma joslas, ar visām šo autoceļu kompleksā ietilpstošajām būvēm ir Latvijas Republikas īpašums, kas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un izziņā (izziņas 4.punkts) sniegto skaidrojumu, ka pašvaldībām tiks nodoti ceļi vai to posmi, kas iepriekš jau būs ierakstīti zemesgrāmatā kā valstij Satiksmes ministrijas personā piederoši, lūdzam izvērtēt, vai nekustamo īpašumu nodošanas pamatojumā būtu ietverama atsauce uz likuma “Par autoceļiem” 4.panta pirmo daļu. Nepieciešamīgas gadījumā lūdzam precizēt informatīvajā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16.12.2022.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16.12.2022.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Atzinumi_22-TA-2881.docx</dc:title>
</cp:coreProperties>
</file>

<file path=docProps/custom.xml><?xml version="1.0" encoding="utf-8"?>
<Properties xmlns="http://schemas.openxmlformats.org/officeDocument/2006/custom-properties" xmlns:vt="http://schemas.openxmlformats.org/officeDocument/2006/docPropsVTypes"/>
</file>