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skaidrot projekta 34. punkta (noteikumu 44.</w:t>
            </w:r>
            <w:r w:rsidR="00000000" w:rsidRPr="00000000" w:rsidDel="00000000">
              <w:rPr>
                <w:vertAlign w:val="superscript"/>
                <w:rtl w:val="0"/>
              </w:rPr>
              <w:t xml:space="preserve">1 </w:t>
            </w:r>
            <w:r w:rsidR="00000000" w:rsidRPr="00000000" w:rsidDel="00000000">
              <w:rPr>
                <w:rtl w:val="0"/>
              </w:rPr>
              <w:t xml:space="preserve">punkts) nepieciešamību un mērķi. Proti, aicinām ne tikai vispārīgi norādīt, kāda norma noteikumos tiek ietverta, bet arī skaidrot, kādēļ attiecīga norma ietverta un kādu problēmu un kā tā atrisina. Vēršam uzmanību, ka anotācijā nepieciešams nevis vienkārši citēt, bet pamatot noteikumu grozījumus, skaidrojot to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tehniski precizēt anotācijas 5.4. sadaļas 1. tabulu, tabulas B ailē korekti norādot arī uz projekta vienībām un papildus, ja nepieciešams, norādot uz attiecīgajām noteikumu vienībām (piemēram, </w:t>
            </w:r>
            <w:r w:rsidR="00000000" w:rsidRPr="00000000" w:rsidDel="00000000">
              <w:rPr>
                <w:u w:val="single"/>
                <w:rtl w:val="0"/>
              </w:rPr>
              <w:t xml:space="preserve">projekta</w:t>
            </w:r>
            <w:r w:rsidR="00000000" w:rsidRPr="00000000" w:rsidDel="00000000">
              <w:rPr>
                <w:rtl w:val="0"/>
              </w:rPr>
              <w:t xml:space="preserve"> 57. punkts (</w:t>
            </w:r>
            <w:r w:rsidR="00000000" w:rsidRPr="00000000" w:rsidDel="00000000">
              <w:rPr>
                <w:u w:val="single"/>
                <w:rtl w:val="0"/>
              </w:rPr>
              <w:t xml:space="preserve">noteikumu</w:t>
            </w:r>
            <w:r w:rsidR="00000000" w:rsidRPr="00000000" w:rsidDel="00000000">
              <w:rPr>
                <w:rtl w:val="0"/>
              </w:rPr>
              <w:t xml:space="preserve"> 85.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tas atbilst šo noteikumu 25.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vienādot noteikumu 16.6. apakšpunkta (projekta 15. punkts) un 20.6. apakšpunkta (projekta 17. punkts) izteiksmi, nodrošinot konsekventu regulējumu. Papildus aicinām izvēlēties tādu normas formulējumu, ka ir nepārprotami skaidrs, ka projekta iesnieguma iesniedzējs </w:t>
            </w:r>
            <w:r w:rsidR="00000000" w:rsidRPr="00000000" w:rsidDel="00000000">
              <w:rPr>
                <w:u w:val="single"/>
                <w:rtl w:val="0"/>
              </w:rPr>
              <w:t xml:space="preserve">atbilst</w:t>
            </w:r>
            <w:r w:rsidR="00000000" w:rsidRPr="00000000" w:rsidDel="00000000">
              <w:rPr>
                <w:rtl w:val="0"/>
              </w:rPr>
              <w:t xml:space="preserve"> noteikumu 25. punktam (proti, uz to </w:t>
            </w:r>
            <w:r w:rsidR="00000000" w:rsidRPr="00000000" w:rsidDel="00000000">
              <w:rPr>
                <w:u w:val="single"/>
                <w:rtl w:val="0"/>
              </w:rPr>
              <w:t xml:space="preserve">neattiecas</w:t>
            </w:r>
            <w:r w:rsidR="00000000" w:rsidRPr="00000000" w:rsidDel="00000000">
              <w:rPr>
                <w:rtl w:val="0"/>
              </w:rPr>
              <w:t xml:space="preserve"> neviens no 25.1.-25.4. apakšpunktā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 punktā (noteikumu 94. punktā) nepārrakstīt Komisijas 2023. gada 13. decembra Regulas (ES) Nr. 2023/2831 par Līguma par Eiropas Savienības darbību 107. un 108. panta piemērošanu de minimis atbalstam 5. panta 3. punkta prasības, bet izdarīt atbilstošu atsauci uz minēto regulas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21.05.2024.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21.05.2024.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Atzinumi_24-TA-111.docx</dc:title>
</cp:coreProperties>
</file>

<file path=docProps/custom.xml><?xml version="1.0" encoding="utf-8"?>
<Properties xmlns="http://schemas.openxmlformats.org/officeDocument/2006/custom-properties" xmlns:vt="http://schemas.openxmlformats.org/officeDocument/2006/docPropsVTypes"/>
</file>