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"Cilvēkkapitāla attīstības stratēģija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aktivitātes "5.2.1.2. Sniegts nozaru vajadzībās balstīts atbalsts uzņēmumiem un to darbiniekiem prasmju profesionālai pilnveidei" līdzatbildības sadaļu ar LOSP (Lauksaimniecības organizāciju sadarbības padome), kura plaši pārstāv tautsaimniecībai nozīmīgas nozares organizācijas, t.sk. ir viena no Nozaru ekspertu padomes (NEP)  koordinējošām organizācijām, aktīvi līdzdarbojoties izglītības un prasmju pilnveides aktivitātēs.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iekļautās aktivitāte paredz mūžizglītības īpašu finansiālu veicināšnu augstskolās un koledžās: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Finansiālā stimula augstskolām un koledžām sniegšana, rosinot piedāvāt mūžizglītības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vidējās profesionālās izglītības iestādes aktīvi īsteno plaša spektra mūžizglītības programamas darba tirgū vajadzīgo prasmju ieguvei, spējot nodrošināt apmācībām specifiski nepieciešamo materiāltehnisko bāzi.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šeit ir domātas īpaši uzsvērt mikrokvalifikācijas, kā tas minēts Izziņā, tad būtu lietderīgi to pieminēt arī pašā Darbības rezultāta redakcijā, kā jaunas pieejas īstenošanu kas veicinātu  interesi par mūžizzglītību.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Mikrokvalifikāciju izmēģinājumprojekta formātā plānots īstenot no 2025.gada ierobežota skaita un tipa augstākās izglītības iestādēs, līdz ar to ietekme uz  mūžizglītībā iesaistīto iedzīvotāju skaita pieaugumu varētu būt neliela.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precizēt plānā iekļautās aktivitātes Darbības rezultāta redakciju, lai būtu skaidrāka tā būtība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"1.2.3.1.Augstākās izglītības iestādes STEM jomu absolventu skaita īpatsvara ar snieguma finansējuma un IKT studējošo skaita augstākās izglītības iestādēs palīdzību paaugstināšana"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Atzinumi_24-TA-273.docx</dc:title>
</cp:coreProperties>
</file>

<file path=docProps/custom.xml><?xml version="1.0" encoding="utf-8"?>
<Properties xmlns="http://schemas.openxmlformats.org/officeDocument/2006/custom-properties" xmlns:vt="http://schemas.openxmlformats.org/officeDocument/2006/docPropsVTypes"/>
</file>