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 īpašuma Ēbelmuižas iela 6 - 13,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(Tiesas spriedums)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pašvaldības lēmums par īpašuma pārņemšanu)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ieņēmumu dienesta akts par īpašuma ņemšanu valsts uzskaitē)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ieņēmumu dienesta akta labojums)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Zemesgrāmatu likuma 1. pantā nostiprināto zemesgrāmatas ierakstu publiskās ticamības principu, tiesiskās skaidrības nodrošināšanai aicinām anotācijā skaidrot, kāpēc atšķiras Rīgas pilsētas zemesgrāmatas nodalījumā Nr.7035-13 norādītais pie atsavināmā dzīvokļa īpašuma piederošo domājamo daļu no daudzdzīvokļu mājas un zemes apmērs (</w:t>
            </w:r>
            <w:r w:rsidR="00000000" w:rsidRPr="00000000" w:rsidDel="00000000">
              <w:rPr>
                <w:u w:val="single"/>
                <w:rtl w:val="0"/>
              </w:rPr>
              <w:t xml:space="preserve">312/39383 </w:t>
            </w:r>
            <w:r w:rsidR="00000000" w:rsidRPr="00000000" w:rsidDel="00000000">
              <w:rPr>
                <w:rtl w:val="0"/>
              </w:rPr>
              <w:t xml:space="preserve">domājamās daļas) no  Nekustamā īpašuma valsts kadastra informācijas sistēmā ietvertās informācijas (</w:t>
            </w:r>
            <w:r w:rsidR="00000000" w:rsidRPr="00000000" w:rsidDel="00000000">
              <w:rPr>
                <w:u w:val="single"/>
                <w:rtl w:val="0"/>
              </w:rPr>
              <w:t xml:space="preserve">3240/405380</w:t>
            </w:r>
            <w:r w:rsidR="00000000" w:rsidRPr="00000000" w:rsidDel="00000000">
              <w:rPr>
                <w:rtl w:val="0"/>
              </w:rPr>
              <w:t xml:space="preserve"> domājamās daļas). Būtu nepieciešams arī veikt darbības datu precizēšanai.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dzīvokļa īpašuma Ēbelmuižas ielā 6-13, Rīgā, kadastra numuru atbilstoši Tiesību akta lietai pievienotajiem paskaidrojošajiem dokumentiem (kadastra Nr. 0100 919 20</w:t>
            </w:r>
            <w:r w:rsidR="00000000" w:rsidRPr="00000000" w:rsidDel="00000000">
              <w:rPr>
                <w:u w:val="single"/>
                <w:rtl w:val="0"/>
              </w:rPr>
              <w:t xml:space="preserve">32</w:t>
            </w:r>
            <w:r w:rsidR="00000000" w:rsidRPr="00000000" w:rsidDel="00000000">
              <w:rPr>
                <w:rtl w:val="0"/>
              </w:rPr>
              <w:t xml:space="preserve">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un vienotas tiesību aktu projektu izstrādes prakses nodrošināšanai lūdzam anotācijā ietvert atsauci uz tiesību normu, saskaņā ar kuru attiecīgais dzīvokļa īpašums ir </w:t>
            </w:r>
            <w:r w:rsidR="00000000" w:rsidRPr="00000000" w:rsidDel="00000000">
              <w:rPr>
                <w:u w:val="single"/>
                <w:rtl w:val="0"/>
              </w:rPr>
              <w:t xml:space="preserve">valstij piekritīgs (</w:t>
            </w:r>
            <w:r w:rsidR="00000000" w:rsidRPr="00000000" w:rsidDel="00000000">
              <w:rPr>
                <w:rtl w:val="0"/>
              </w:rPr>
              <w:t xml:space="preserve">sk., piemēram, Ministru kabineta 2023. gada 11. aprīļa rīkojuma Nr.208 "Par valstij piekrītošā dzīvokļa īpašuma Raiņa bulvārī 31–20, Rīgā, nodošanu Rīgas valstspilsētas pašvaldības īpašumā"  anotācijas 1.3. sadaļas pirmo rindkopu).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23-TA-2301</w:t>
    </w:r>
    <w:r>
      <w:br/>
    </w:r>
    <w:r w:rsidR="00000000" w:rsidRPr="00000000" w:rsidDel="00000000">
      <w:rPr>
        <w:rtl w:val="0"/>
      </w:rPr>
      <w:t xml:space="preserve">Izdrukāts 12.10.2023.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23-TA-2301</w:t>
    </w:r>
    <w:r>
      <w:br/>
    </w:r>
    <w:r w:rsidR="00000000" w:rsidRPr="00000000" w:rsidDel="00000000">
      <w:rPr>
        <w:rtl w:val="0"/>
      </w:rPr>
      <w:t xml:space="preserve">Izdrukāts 12.10.2023.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