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24-TA-737: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Muitas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Tiesību akta projekta ietekmējamās sabiedrības grupas, ietekme uz tautsaimniecības attīstību un administratīvo slogu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norādīt, ka projekts skar Valsts ieņēmumu dienesta nodarbinātos.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Stone (VK)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 Tiesību akta projekta izpildes nodrošināšana un tās ietekme uz institūcijām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norādīt, ka projekta izpildi nodrošinās Valsts ieņēmumu dienests.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Stone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14.05.2024. 17.31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14.05.2024. 17.31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