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pants. Starpinstitūciju sadarbības sanāksmes kriminālsodu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Kriminālsodu izpildes laikā kriminālsodu izpildes iestādes organizē starpinstitūciju sadarbības sanāksmes šajā kodeksā noteiktajos gadījumos un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organizē, lai kriminālsodu izpildes iestāžu un citu iesaistīto institūciju kompetences ietvaros koordinētu pasākumus un aktivitātes, ar mērķi mazināt risku, ka notiesātais izdara jaunu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b w:val="1"/>
                <w:vertAlign w:val="superscript"/>
                <w:rtl w:val="0"/>
              </w:rPr>
              <w:t xml:space="preserve">2</w:t>
            </w:r>
            <w:r w:rsidR="00000000" w:rsidRPr="00000000" w:rsidDel="00000000">
              <w:rPr>
                <w:b w:val="1"/>
                <w:rtl w:val="0"/>
              </w:rPr>
              <w:t xml:space="preserve">pants. Starpinstitūciju sadarbības sanāksmju organizēšanā iesaistītās iestādes un to organizēšanas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organizē Valsts probācijas dienests, Ieslodzījuma vietu pārvalde un Valsts policija attiecībā uz personām, kurām iestāde nodrošina kriminālsoda izpildi,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ir notiesāta par smagu vai sevišķi smagu vardarbīgu noziegumu;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ir notiesāta par noziedzīgu nodarījumu pret tikumību un dzimumneaizskaramību;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notiesātajam ir konstatētas radikalizācijas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notiesātais ir nepilngadīgs probācijas klients.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var organizēt arī šī panta pirmajā daļā neminētos gadījumos par nepilngadīgu notiesāto, notiesāto ar garīgās veselības traucējumiem vai notiesāto, kuram ir konstatēts ļoti augsts jauna noziedzīga nodarījuma izdarīšanas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sanāksmi var organizēt jebkurā kriminālsodu izpildes procesa brīdī. Starpinstitūciju sadarbības sanāksmi obligāti organizē pirms kriminālsoda izpildes beigām par šī panta pirmajā daļā minētajiem notiesātajiem. Starpinstitūciju sadarbības sanāksmes var organizēt arī atkārtoti par vienu un to pašu notiesāto.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sanāksmēs pēc Valsts probācijas dienesta, Ieslodzījuma vietu pārvaldes vai Valsts policijas uzaicinājuma piedalās Valsts drošības dienesta, pašvaldības sociālā dienesta, bāriņtiesas, pašvaldības policijas, Valsts bērnu tiesību aizsardzības inspekcijas pārstāvji, kā arī psihologs, ārstniecības persona, fiziska persona vai juridiskas personas pārstāvis, kas var sniegt nepieciešamo informāciju izskatāmajā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Dalībai starpinstitūciju sadarbības sanāksmē pieaicina Valsts drošības dienesta pārstāvi, ja sanāksmi organizē par šī panta pirmās daļas  3.punktā minēto personu vai personu, kas notiesāta par ar terorismu saistīta nozieguma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Dalībai starpinstitūciju sadarbības sanāksmē pieaicina Valsts bērnu tiesību aizsardzības inspekcijas pārstāvi, ja sanāksmi organizē: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notiesāto, kurš būdams nepilngadīgs, ir izdarījis noziedzīgu nodarījumu pret nepilngadīgu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notiesāto, kurš izcieš sodu par noziedzīgu nodarījumu pret nepilngadīgu personu un nesadarbojas ar kriminālsodu izpildes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starpinstitūciju sadarbības sanāksmes ietvaros tiek konstatēts nepilngadīgā labāko interešu aizskārums vai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inspekcijas dalība nepieciešama bāriņtiesu darba uzraudzības un metodiskās vadības ietvaros atbilstoši normatīvajiem aktiem, kas noteic bāriņtiesas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sasaukšanas, organizēšanas un norises kārtību, lēmumu pieņemšanas kārtību, protokola sagatavošanas kārtību un protokolu glabāšanas termiņus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personu ar radikalizācijas pazīmēm šā kodeksa izpratnē uzskata personu, kura, pamatojoties uz ideoloģiska, politiska, reliģiska, sociāla, ekonomiska un personīga rakstura iemesliem, pakāpeniski pieņem vardarbīgu ekstrēmismu.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Vardarbīgs ekstrēmisms izpaužas kā tādu darbību popularizēšana, atbalstīšana un veikšana, kuras var novest pie terorisma un kuru mērķis ir aizstāvēt ideoloģiju, kas sludina rases, nacionālo, etnisko vai reliģisko pārākumu vai noliedz demokrātijas pamatprincipus un pamatvērtības.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b w:val="1"/>
                <w:vertAlign w:val="superscript"/>
                <w:rtl w:val="0"/>
              </w:rPr>
              <w:t xml:space="preserve">3</w:t>
            </w:r>
            <w:r w:rsidR="00000000" w:rsidRPr="00000000" w:rsidDel="00000000">
              <w:rPr>
                <w:b w:val="1"/>
                <w:rtl w:val="0"/>
              </w:rPr>
              <w:t xml:space="preserve">pants. Personas datu apstrāde starpinstitūciju sadarbības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laikā tās dalībnieki, lai sasniegtu šā kodeksa 12.</w:t>
            </w:r>
            <w:r w:rsidR="00000000" w:rsidRPr="00000000" w:rsidDel="00000000">
              <w:rPr>
                <w:vertAlign w:val="superscript"/>
                <w:rtl w:val="0"/>
              </w:rPr>
              <w:t xml:space="preserve">1</w:t>
            </w:r>
            <w:r w:rsidR="00000000" w:rsidRPr="00000000" w:rsidDel="00000000">
              <w:rPr>
                <w:rtl w:val="0"/>
              </w:rPr>
              <w:t xml:space="preserve">panta otrajā daļā paredzēto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informāciju par institūcijas kompetences ietvaros īstenotajiem pasākumiem darbā ar notiesāto, par institūcijas darbības ietvaros vai uzaicinātās personas konstatētajiem notiesātā atkārtota noziedzīga nodarījuma izdarīšanas riskiem, sniedz institūcijas vai uzaicinātās personas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informāciju par īstenotajiem pasākumiem cietušā interešu aizstāvības nodrošināšanai un turpmāk īstenojamiem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vienojas par katras iesaistītās institūcijas kompetences jomā veicamajiem pasākumiem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Sēdes protokolu nosūta tikai šā kodeksa 12.</w:t>
            </w:r>
            <w:r w:rsidR="00000000" w:rsidRPr="00000000" w:rsidDel="00000000">
              <w:rPr>
                <w:vertAlign w:val="superscript"/>
                <w:rtl w:val="0"/>
              </w:rPr>
              <w:t xml:space="preserve">2</w:t>
            </w:r>
            <w:r w:rsidR="00000000" w:rsidRPr="00000000" w:rsidDel="00000000">
              <w:rPr>
                <w:rtl w:val="0"/>
              </w:rPr>
              <w:t xml:space="preserve">panta pirmajā un ceturtajā daļā minētajām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Starpinstitūciju sadarbības sanāksmes organizēšanas un norises laikā sanāksmes dalībnieki apstrādā šī panta pirmajā daļā noteiktos notiesātā, cietušā, notiesātā ģimenes vai mājsaimniecības locekļu, iespējami apdraudēto personu, tajā skaitā – nepilngadīgo bērnu, personas datus, ar nolūku nodrošināt šā kodeksa 12.</w:t>
            </w:r>
            <w:r w:rsidR="00000000" w:rsidRPr="00000000" w:rsidDel="00000000">
              <w:rPr>
                <w:vertAlign w:val="superscript"/>
                <w:rtl w:val="0"/>
              </w:rPr>
              <w:t xml:space="preserve">1</w:t>
            </w:r>
            <w:r w:rsidR="00000000" w:rsidRPr="00000000" w:rsidDel="00000000">
              <w:rPr>
                <w:rtl w:val="0"/>
              </w:rPr>
              <w:t xml:space="preserve">panta otrajā daļā minētā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starpinstitūciju sadarbības sanāksmes dalībnieku interešu aizsardzību un šā kodeksa 12.</w:t>
            </w:r>
            <w:r w:rsidR="00000000" w:rsidRPr="00000000" w:rsidDel="00000000">
              <w:rPr>
                <w:vertAlign w:val="superscript"/>
                <w:rtl w:val="0"/>
              </w:rPr>
              <w:t xml:space="preserve">1</w:t>
            </w:r>
            <w:r w:rsidR="00000000" w:rsidRPr="00000000" w:rsidDel="00000000">
              <w:rPr>
                <w:rtl w:val="0"/>
              </w:rPr>
              <w:t xml:space="preserve">panta otrajā daļā minētā mērķa sasniegšanu, starpinstitūciju sadarbības sanāksmes laikā apstrādātajai informācijai, kā arī protokolā iekļautajai informācijai ir ierobežotas pieejamības statuss. Katra institūcija apstrādā starpinstitūciju sadarbības sanāksmes laikā saņemtos personas datus savas kompetences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starpinstitūciju sadarbības sanāksmes dalībnieku interešu aizsardzību un šā kodeksa 12.</w:t>
            </w:r>
            <w:r w:rsidR="00000000" w:rsidRPr="00000000" w:rsidDel="00000000">
              <w:rPr>
                <w:vertAlign w:val="superscript"/>
                <w:rtl w:val="0"/>
              </w:rPr>
              <w:t xml:space="preserve">1</w:t>
            </w:r>
            <w:r w:rsidR="00000000" w:rsidRPr="00000000" w:rsidDel="00000000">
              <w:rPr>
                <w:rtl w:val="0"/>
              </w:rPr>
              <w:t xml:space="preserve">panta otrajā daļā minētā mērķa sasniegšanu, starpinstitūciju sadarbības sanāksmes laikā apstrādāto informāciju izsniedz tikai institūciju pārstāvjiem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pašreizējās redakcijas 12.</w:t>
            </w:r>
            <w:r w:rsidR="00000000" w:rsidRPr="00000000" w:rsidDel="00000000">
              <w:rPr>
                <w:vertAlign w:val="superscript"/>
                <w:rtl w:val="0"/>
              </w:rPr>
              <w:t xml:space="preserve">3 </w:t>
            </w:r>
            <w:r w:rsidR="00000000" w:rsidRPr="00000000" w:rsidDel="00000000">
              <w:rPr>
                <w:rtl w:val="0"/>
              </w:rPr>
              <w:t xml:space="preserve">panta trešo daļu pārcelt uz šī panta pirmo daļu kā vienu no punktiem, lai būtu skaidri saprotams, ka sanāksmes dalībnieki sanāksmes laikā ir tiesīgi apstrādāt notiesātā, cietušā, notiesātā ģimenes vai mājsaimniecības locekļu, iespējami apdraudēto personu, tajā skaitā – nepilngadīgo bērnu,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06.02.2023.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06.02.2023.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