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Segto obligāciju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nav saprotams pamatojums šādai 93. panta (likumprojekta 6. panta) redakcijai, jo atbilstoši Latvijas Bankas 19.12.2022. noteikumiem Nr. 235 "Noteikumi par finanšu tirgus dalībnieku maksājumu apmēru un šo maksājumu aprēķināšanas un veikšanas kārtību" segto obligāciju sabiedrība ir tā, kas faktiski veiks maksājumu reizi ceturksnī. Par šādu kārtību tika panākta vienošanās arī ar iesaistītajām pusēm likuma pamatteksta izstrādes stadijā. Līdz ar to panta pirmajā daļā, Latvijas Bankas ieskatā, pamatdoma ("programmas noteikumos paredz" un "maksā segto obligāciju sabiedrība") būtu atstājama. Priekšlikums normai atstāt divas daļas, kur skaidri izdalīts gan emitentam, gan segto obligāciju sabiedrībai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pants. Maksājumi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Emitents segto obligāciju programmas noteikumos paredz, ka segto obligāciju sabiedrība veic maksājumus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Segto obligāciju sabiedrība veic maksājumus Latvijas Bankai līdz 0,001 procentam gadā no emitēto segto obligāciju nominālvērtības, bet ne mazāk par 5000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Kauliņš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6. pantā lietoto Eiropas Savienības vienotās valūtas apzīmējumu, jo normatīvajos aktos Eiropas Savienības vienotās valūtas apzīmēšanai lieto vārdu "</w:t>
            </w:r>
            <w:r w:rsidR="00000000" w:rsidRPr="00000000" w:rsidDel="00000000">
              <w:rPr>
                <w:i w:val="1"/>
                <w:rtl w:val="0"/>
              </w:rPr>
              <w:t xml:space="preserve">euro</w:t>
            </w:r>
            <w:r w:rsidR="00000000" w:rsidRPr="00000000" w:rsidDel="00000000">
              <w:rPr>
                <w:rtl w:val="0"/>
              </w:rPr>
              <w:t xml:space="preserve">"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novērst normatīvo aktu pārkāpumus, darbības trūkumus, tai skaitā sagatavot un ieviest plānu trūkumu novēršanai vai pārkāpuma dēļ iestājušās sekas Latvijas Bankas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pieprasīt pārskatīt segto obligāciju programmas īstenošanas nepārtrauktības plānu vai citas politikas, procedūras un metodoloģijas;”.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7. pantā ietverto likuma 95. panta 1. punkta redakciju, lai tā veidotu loģisku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novērst normatīvo aktu pārkāpumus, darbības trūkumus, tai skaitā sagatavot un ieviest plānu trūkumu vai pārkāpuma dēļ iestājušos seku novēršanai Latvijas Bankas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101. pants. Sankciju vai </w:t>
            </w:r>
            <w:r w:rsidR="00000000" w:rsidRPr="00000000" w:rsidDel="00000000">
              <w:rPr>
                <w:b w:val="1"/>
                <w:u w:val="single"/>
                <w:rtl w:val="0"/>
              </w:rPr>
              <w:t xml:space="preserve">administratīvo</w:t>
            </w:r>
            <w:r w:rsidR="00000000" w:rsidRPr="00000000" w:rsidDel="00000000">
              <w:rPr>
                <w:b w:val="1"/>
                <w:rtl w:val="0"/>
              </w:rPr>
              <w:t xml:space="preserve"> pasākumu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Banka</w:t>
            </w:r>
            <w:r w:rsidR="00000000" w:rsidRPr="00000000" w:rsidDel="00000000">
              <w:rPr>
                <w:rtl w:val="0"/>
              </w:rPr>
              <w:t xml:space="preserve"> šā likuma 100. pantā noteiktās sankcijas un </w:t>
            </w:r>
            <w:r w:rsidR="00000000" w:rsidRPr="00000000" w:rsidDel="00000000">
              <w:rPr>
                <w:u w:val="single"/>
                <w:rtl w:val="0"/>
              </w:rPr>
              <w:t xml:space="preserve">administratīvos pasākumus var piemērot</w:t>
            </w:r>
            <w:r w:rsidR="00000000" w:rsidRPr="00000000" w:rsidDel="00000000">
              <w:rPr>
                <w:rtl w:val="0"/>
              </w:rPr>
              <w:t xml:space="preserve"> par šādiem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kredītiestāde emitē segtās obligācijas bez segto obligāciju programmas īstenošanas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 saņēmusi atļauju segto obligāciju programmas īstenošanai, sniedzot nepatiesas ziņas vai izmantojot citus nelikumīgus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emitents emitē tādas segtās obligācijas, kuras nenodrošina ieguldītāju un segto obligāciju kreditoru tiesību ievērošanu emitenta maksātnespējas procesā vai emitenta noregulējumā;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emitents emitē tādas segtās obligācijas, attiecībā uz kurām nav ievērotas seguma aktīviem piemērojamās prasības, </w:t>
            </w:r>
            <w:r w:rsidR="00000000" w:rsidRPr="00000000" w:rsidDel="00000000">
              <w:rPr>
                <w:u w:val="single"/>
                <w:rtl w:val="0"/>
              </w:rPr>
              <w:t xml:space="preserve">tai skaitā prasības attiecībā uz seguma aktīvu sarakstu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emitents emitē tādas segtās obligācijas, kuras ir nodrošinātas ar aktīviem, kas atrodas ārpus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kredītiestādes grupas ietvaros emitē iekšēji emitētas segtās obligācijas, pārkāpjot prasības par seguma aktīvu izmantošanu kredītiestādes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emitents vai segto obligāciju sabiedrība nenodrošina seguma portfeļa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emitents vai segto obligāciju sabiedrība neievēro atvasināto instrumentu līgumu izmantošanas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emitents vai segto obligāciju sabiedrība nenodrošina prasības par seguma aktīvu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emitents vai segto obligāciju sabiedrība pārkāpj informācijas atklāšanas prasības vai nesniedz pilnīgu vai precīzu informāciju Komisijai, tostarp par emitenta saistībām, kā arī seguma portfeļa uzraugam vai īpašajam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u w:val="single"/>
                <w:rtl w:val="0"/>
              </w:rPr>
              <w:t xml:space="preserve">emitents pārkāpj informācijas atklāšanas prasības vai nesniedz pilnīgu vai precīzu informāciju ieguldītājam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emitents vai segto obligāciju sabiedrība ilgstoši neuztur seguma portfeļa likviditātes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emitents, kas emitē segtās obligācijas, piemērojot pagarināma termiņa struktūras, vai segto obligāciju sabiedrība nav izpildījusi pagarināma termiņa struktūru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u w:val="single"/>
                <w:rtl w:val="0"/>
              </w:rPr>
              <w:t xml:space="preserve">emitents, atsavinātājs vai segto obligāciju sabiedrība neievēro ziņošanas par iespējamiem un faktiskiem pārkāpumiem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u w:val="single"/>
                <w:rtl w:val="0"/>
              </w:rPr>
              <w:t xml:space="preserve">regulas Nr. 575/2013 129. panta pārkāpumiem attiecībā uz riska darījumiem segto obligāciju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u w:val="single"/>
                <w:rtl w:val="0"/>
              </w:rPr>
              <w:t xml:space="preserve">regulas Nr. 575/2013 178. panta pārkāpumiem attiecībā uz parādnieka saistību neizpildi.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9. pantā paredzēto grozījumu, jo, izsakot pantu jaunā redakcijā, tajā neveido prim vienības (pirm punktus vai prim daļas). Atbilstoši precizējama arī likumprojekta 10. pantā ietvertā 102. panta pirmās daļas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pašreiz spēkā esošo 102. panta pirmās daļas redakciju, tās mērķis, Latvijas Bankas ieskatā, ir cits, proti, gan piemērot naudas sodu par ievaddaļā minētajiem pārkāpumiem, gan tālāk pantā par uzskaitītajiem pārkāpumiem. Pašreiz normas redakcija nosaka, ka no panta ievaddaļas pārkāpumi tiek pārnesti zemāk un uzskaitīti. Līdz ar to pašreiz tiek būtiski sašaurinātas iespējas uzlikt naudas sodu. Cik noprotams pašreiz normas mērķis ir vēl sīkāk gradēt, par kuriem pārkāpumiem var piemērot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tas ir pārkāpuma smaguma jautājums, ko vērtē katrā konkrētajā situācijā. Līdz ar to arī citi minētie pārkāpumu veidi var būt diskusijā par to, vai tādu pārkāpumu pieļaušana var tikt sodīta ar naudas sodu. Vērtējot likumā ietvertās prasības un nozīmīgumu (izdarot šāda veida pārkāpumu, tas var būtiski skart ieguldītāju intereses), priekšlikums 102. panta pirmās daļas (likumprojekta 10. pants) redakciju pašreiz papildināt vismaz arī ar 101.panta 1., 4., 7. un 9. punktu. Tomēr Latvijas Banka ir gatava apspriest šo priekšlikumu ar FM, lai gūtu skaidrāku priekšstatu par likumprojektā piedāvātās normas redakciju un mērķi būtiski sašaurināt Latvijas Bankas iespējas sodīt arī par cita veida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102.panta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šā likuma 101.panta </w:t>
            </w:r>
            <w:r w:rsidR="00000000" w:rsidRPr="00000000" w:rsidDel="00000000">
              <w:rPr>
                <w:u w:val="single"/>
                <w:rtl w:val="0"/>
              </w:rPr>
              <w:t xml:space="preserve">1.,</w:t>
            </w:r>
            <w:r w:rsidR="00000000" w:rsidRPr="00000000" w:rsidDel="00000000">
              <w:rPr>
                <w:rtl w:val="0"/>
              </w:rPr>
              <w:t xml:space="preserve"> 2., </w:t>
            </w:r>
            <w:r w:rsidR="00000000" w:rsidRPr="00000000" w:rsidDel="00000000">
              <w:rPr>
                <w:u w:val="single"/>
                <w:rtl w:val="0"/>
              </w:rPr>
              <w:t xml:space="preserve">4., 7., 9.</w:t>
            </w:r>
            <w:r w:rsidR="00000000" w:rsidRPr="00000000" w:rsidDel="00000000">
              <w:rPr>
                <w:rtl w:val="0"/>
              </w:rPr>
              <w:t xml:space="preserve">, 10., 10.</w:t>
            </w:r>
            <w:r w:rsidR="00000000" w:rsidRPr="00000000" w:rsidDel="00000000">
              <w:rPr>
                <w:vertAlign w:val="superscript"/>
                <w:rtl w:val="0"/>
              </w:rPr>
              <w:t xml:space="preserve">1</w:t>
            </w:r>
            <w:r w:rsidR="00000000" w:rsidRPr="00000000" w:rsidDel="00000000">
              <w:rPr>
                <w:rtl w:val="0"/>
              </w:rPr>
              <w:t xml:space="preserve">, 14. un 15. punktā minētajiem pārkāpumiem Latvijas Banka ir tiesīga piemērot juridiskajai personai soda naudu līdz 10 procentiem no iepriekšējā finanšu gada neto ienākumu summas, kas atbilst summai, kuru saskaņā ar regulu Nr. 575/2013 izmanto, lai aprēķinātu operacionālā riska pašu kapitāla prasību saskaņā ar pamatrādītāja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Kauliņš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25.01.2023.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25.01.2023.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Atzinumi_22-TA-3104.docx</dc:title>
</cp:coreProperties>
</file>

<file path=docProps/custom.xml><?xml version="1.0" encoding="utf-8"?>
<Properties xmlns="http://schemas.openxmlformats.org/officeDocument/2006/custom-properties" xmlns:vt="http://schemas.openxmlformats.org/officeDocument/2006/docPropsVTypes"/>
</file>