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sniedzamos pakalpojumus prioritāro projektu īstenošanai  saņem Latvijā reģistrēts komersants, reģistrēts ārvalsts komersants vai dalībvalsts komercsabiedrība, kam Latvijā ir reģistrēta filiāle Komerclikuma izpratnē (turpmāk – komersants), kas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6. maija noteikumi Nr. 277 “Kārtība, kādā nodrošina prioritāru publisku pakalpojumu sniegšanu komersantiem” (turpmāk – noteikumi Nr. 277) izdoti saskaņā ar Inovatīvas uzņēmējdarbības un prioritāro projektu atbalsta likuma 3. panta ceturto daļu. Inovatīvas uzņēmējdarbības un prioritāro projektu atbalsta likuma 3. panta ceturtās daļas 1. punkts noteic, ka Ministru kabinets nosaka prioritāro projektu kvalifikācijas kritērijus un prioritāro projektu statusa piešķiršanas un zaudēšanas nosacījumus un kārtību. Vēršam uzmanību, ka ne noteikumi Nr. 277, ne grozījumi šajos noteikumos nenosaka prioritāro projektu kvalifikācijas kritērijus un prioritāro projektu statusa piešķiršanas un zaudēšanas nosacījumus un kārtību. Noteikumi Nr. 277 un grozījumi šajos noteikumos noteic subjektus, kuri saņem prioritārā kārtībā sniegtus pakalpojumus. Noteikumu konsolidētās versijas 4.1. apakšpunktā nav pat norādes uz komersanta īstenotu projektu. Savukārt noteikumu konsolidētās versijas 4.2., 4.3., 4.4. apakšpunktā ir norāde uz projektu, tajā pašā laikā atbilstoši 9.</w:t>
            </w:r>
            <w:r w:rsidR="00000000" w:rsidRPr="00000000" w:rsidDel="00000000">
              <w:rPr>
                <w:vertAlign w:val="superscript"/>
                <w:rtl w:val="0"/>
              </w:rPr>
              <w:t xml:space="preserve">1  </w:t>
            </w:r>
            <w:r w:rsidR="00000000" w:rsidRPr="00000000" w:rsidDel="00000000">
              <w:rPr>
                <w:rtl w:val="0"/>
              </w:rPr>
              <w:t xml:space="preserve">un 11. punktam  lēmums tiek pieņemts par komersanta atbilstību noteiktajiem kritērijiem un iekļaušanu sarakstā. Iepazīstoties ar LIAA sarakstu ar komersantiem, kas ir tiesīgi saņemt prioritārā kārtībā sniedzamos pakalpojumus https://business.gov.lv/atbalsta-iespejas/iniciativa-zalais-koridors?subsection=komersantu-saraksts  secināms, ka ir publicēta informācija par komersantiem bez norādes uz to īstenotiem projektiem, kurus pārvalde ir atzinusi par prioritāriem projektiem. Minēto apstiprina arī 14.</w:t>
            </w:r>
            <w:r w:rsidR="00000000" w:rsidRPr="00000000" w:rsidDel="00000000">
              <w:rPr>
                <w:vertAlign w:val="superscript"/>
                <w:rtl w:val="0"/>
              </w:rPr>
              <w:t xml:space="preserve">1 </w:t>
            </w:r>
            <w:r w:rsidR="00000000" w:rsidRPr="00000000" w:rsidDel="00000000">
              <w:rPr>
                <w:rtl w:val="0"/>
              </w:rPr>
              <w:t xml:space="preserve">punkta redakcija, kas noteic, ka komersanti, kas iekļauti sarakstā, ir tiesīgi saņemt valsts pārvaldes uzdevumu ietvaros sniedzamos pakalpojumus prioritārā kārtībā, nevis komersanti, kas īsteno prioritārus projektus ir tiesīgi prioritāro projektu īstenošanai saņemt valsts pārvaldes uzdevumu ietvaros sniedzamos pakalpojumus prioritārā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apstiprina arī izziņā sniegtais Ekonomikas ministrijas atbilde uz Viedās administrācijas un reģionālās attīstības ministrijas iebildumu, kas izteikts 2025. gada 4. novembra atzinumā, proti: </w:t>
            </w:r>
            <w:r w:rsidR="00000000" w:rsidRPr="00000000" w:rsidDel="00000000">
              <w:rPr>
                <w:i w:val="1"/>
                <w:rtl w:val="0"/>
              </w:rPr>
              <w:t xml:space="preserve">"(..) prioritārā kārtībā pakalpojumi tiek sniegti tikai tiem komersantiem, kurus šim statusam atzinusi 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pakalpojuma sniedzēji, tostarp pašvaldības, sniedz normatīvajos aktos noteiktos pakalpojumus, nevis kvalificē prioritāros projektus, piešķir prioritāro projektu statusu vai lemj par tā zaudēšanu. Tādējādi saskaņā ar Inovatīvas uzņēmējdarbības un prioritāro projektu atbalsta likuma 3. pantu, ja pašvaldības rīcībā, piemēram, LIAA komersantu sarakstā nav pārvaldes lēmuma par prioritārā projekta noteikšanu konkrētam projektam, tad pašvaldībai nav tiesiska pamata sniegt personai pakalpojumu prioritārā kārtībā konkrēta projekta īstenošanai. Ievērojot iepriekš minēto un Valsts pārvaldes iekārtas likuma 10. panta pirmo daļu, kas noteic, ka valsts pārvalde savas pilnvaras var izmantot tikai atbilstoši pilnvarojuma jēgai un mērķim, lūdzam pārskatīt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