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Kritēriji un kārtība, kādā valsts piedalās pedagogu darba samaksas finansēšanā vispārējās pamatizglītības un vispārējās vidējās izglītības pakāpē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1.-7. grupa – izglītības iestādei atkarībā no pašvaldību administratīvi teritoriālās vienības, kurā atrodas izglītības iestāde, urbanizācijas līmeņa;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Pašvaldību savienība atkārtoti norāda</w:t>
            </w:r>
            <w:r w:rsidR="00000000" w:rsidRPr="00000000" w:rsidDel="00000000">
              <w:rPr>
                <w:rtl w:val="0"/>
              </w:rPr>
              <w:t xml:space="preserve">, ka </w:t>
            </w:r>
            <w:r w:rsidR="00000000" w:rsidRPr="00000000" w:rsidDel="00000000">
              <w:rPr>
                <w:b w:val="1"/>
                <w:rtl w:val="0"/>
              </w:rPr>
              <w:t xml:space="preserve">DEGURBA metodoloģija ir piemērojama,</w:t>
            </w:r>
            <w:r w:rsidR="00000000" w:rsidRPr="00000000" w:rsidDel="00000000">
              <w:rPr>
                <w:rtl w:val="0"/>
              </w:rPr>
              <w:t xml:space="preserve"> </w:t>
            </w:r>
            <w:r w:rsidR="00000000" w:rsidRPr="00000000" w:rsidDel="00000000">
              <w:rPr>
                <w:b w:val="1"/>
                <w:rtl w:val="0"/>
              </w:rPr>
              <w:t xml:space="preserve">ja tiek ņemti vērā demogrāfiskie rādītāji un tendences</w:t>
            </w:r>
            <w:r w:rsidR="00000000" w:rsidRPr="00000000" w:rsidDel="00000000">
              <w:rPr>
                <w:rtl w:val="0"/>
              </w:rPr>
              <w:t xml:space="preserve"> pa vecuma grupām.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3.1. izteikt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1.-7. grupa – izglītības iestādei atkarībā no pašvaldību administratīvi teritoriālās vienības, kurā atrodas izglītības iestāde, urbanizācijas līmeņa,</w:t>
            </w:r>
            <w:r w:rsidR="00000000" w:rsidRPr="00000000" w:rsidDel="00000000">
              <w:rPr>
                <w:b w:val="1"/>
                <w:rtl w:val="0"/>
              </w:rPr>
              <w:t xml:space="preserve"> demogrāfiskajiem rādītājiem un tendencēm.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Valsts augstskola vai privātās izglītības iestādes dibinātājs ne vēlāk kā līdz kārtējā gada 30. jūnijam iesniedz ministrijā apliecinājumu par izglītības iestādes, kura atrodas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minētā pašvaldību administratīvi teritoriālo vienību iedalījuma 1. , 2. un 3. grupā un kura īsteno vispārējās vidējās izglītības programmas klātienē, iekļaušanu pašvaldības apstiprinātā izglītības ekosistēmas attīstības stratēģijā.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saistību ar privātās izglītības iestādes juridiskās adreses atrašanos vienā administratīvi teritoriālā vienībā, bet privātās izglītības iestādes faktisko atrašanos un izglītības programmas īstenošanu citā administratīvi teritoriālā vienībā. Kura pašvaldība sniegs apliecinājumu par iekļaušanu pašvaldības apstiprinātā izglītības ekosistēmas attīstības stratēģiju?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administratīvi teritoriālo vienību iedalījuma grupas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1.pielikumā</w:t>
            </w:r>
            <w:r w:rsidR="00000000" w:rsidRPr="00000000" w:rsidDel="00000000">
              <w:rPr>
                <w:rtl w:val="0"/>
              </w:rPr>
              <w:t xml:space="preserve"> Tukuma pilsēta atrodas DEGURBA 4.grupā, Krāslavas pilsēta atrodas 3.DEGURBA grupā un Aizkraukles pilsēta atrodas 2.grupā.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Lūdzu pārskatīt DEGURBA grupas Tukuma,Krāslavas un Aizkraukles pilsētām.  Krāslavai noteikt 4.DEGURBA grupu, Tukuma pilsētai noteikt 3.DEGURBA grupu un Aizkraukles pilsētai noteikt 3.DEGURBA grupu.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Tukuma pilsētā </w:t>
            </w:r>
            <w:r w:rsidR="00000000" w:rsidRPr="00000000" w:rsidDel="00000000">
              <w:rPr>
                <w:rtl w:val="0"/>
              </w:rPr>
              <w:t xml:space="preserve">ir 16 182 Iedzīvotāji (2025.gada dati), iedzīvotāju blīvums ir  1199,6 iedz./km</w:t>
            </w:r>
            <w:r w:rsidR="00000000" w:rsidRPr="00000000" w:rsidDel="00000000">
              <w:rPr>
                <w:vertAlign w:val="superscript"/>
                <w:rtl w:val="0"/>
              </w:rPr>
              <w:t xml:space="preserve">2.</w:t>
            </w:r>
            <w:r w:rsidR="00000000" w:rsidRPr="00000000" w:rsidDel="00000000">
              <w:rPr>
                <w:rtl w:val="0"/>
              </w:rPr>
              <w:t xml:space="preserve">.    Tukuma pilsētā ir stabili demogrāfiskie rādītāji.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Krāslavas pilsētā </w:t>
            </w:r>
            <w:r w:rsidR="00000000" w:rsidRPr="00000000" w:rsidDel="00000000">
              <w:rPr>
                <w:rtl w:val="0"/>
              </w:rPr>
              <w:t xml:space="preserve">ir 6 797 Iedzīvotāji (2025.gada dati), iedzīvotāju   blīvums ir 793,1 iedz./km</w:t>
            </w:r>
            <w:r w:rsidR="00000000" w:rsidRPr="00000000" w:rsidDel="00000000">
              <w:rPr>
                <w:vertAlign w:val="superscript"/>
                <w:rtl w:val="0"/>
              </w:rPr>
              <w:t xml:space="preserve">2</w:t>
            </w:r>
            <w:r w:rsidR="00000000" w:rsidRPr="00000000" w:rsidDel="00000000">
              <w:rPr>
                <w:rtl w:val="0"/>
              </w:rPr>
              <w:t xml:space="preserve">.    Krāslavā iedzīvotāju skaits ir sarūkošs.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Aizkraukles pilsēta </w:t>
            </w:r>
            <w:r w:rsidR="00000000" w:rsidRPr="00000000" w:rsidDel="00000000">
              <w:rPr>
                <w:rtl w:val="0"/>
              </w:rPr>
              <w:t xml:space="preserve">nepamatoti tiek pielīdzināta valstspilsētām. Aizkrauklē ir daudzstāvu apbūve līdz ar to, nekritiski piemērojot  DEGURBA  statistikas rīku, Aizkraukle nonāk 2.DEGURBA grupā. Aizkraukles pilsētas Iedzīvotāju skaits ir 6 689 (2025.gada dati), iedzīvotāju blīvums  blīvums 832,0 iedz./km2  Maksimālais iedzīvotāju skaits pilsētā bija 1992. gadā — 10 521 cilvēks. Aizkraukles pilsēta nepamatoti ielikta 2.DEGURBA grupā. Tai ir jābūt 4.grupā.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Bauskas novada Īslīces pagastam ir noteikta 5.DEGURBA grupa, Codes pagastam ir noteikta 4.DEGURBA grupa un Vecumnieku pagastam  ir noteikta 5.DEGURBA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veica DEGURBA līdzības analīzi  Īslīces, Codes un Vecumnieku pagastiem.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 tika veikta pagastu salīdzināšana, ar mērķi atrast katram no trim pagastiem līdzīgākās teritorijas ar DEGURBA 6. grupu, kuru platība un iedzīvotāju skaits ir pēc iespējas tuvāks.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Līdzības aprēķins: kandidātu kopai (6. grupa) aprēķinājām relatīvās atšķirības pret mērķa teritoriju platībā un iedzīvotāju skaitā, pēc tam veidojām kompozīto līdzības indeksu: indekss = 0,5·(platības % atšķirība) + 0,5·(iedzīvotāju % atšķirība). Jo mazāks indekss, jo līdzīgāka teritorija. Papildu norādām aprēķināto iedzīvotāju blīvumu (iedz./km²). Tika atlasītas tikai 6. grupas teritorijas (8. un 9. grupa netiek iekļauta kandidātos).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opsavilkums:K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“Īslīces (103 km²; 2 389 iedz.) ir statistiski ļoti tuva 6. grupas Glūdas/Auru pagastiem (platības atšķirība 0.4–6.8%; iedz. atšķirība 10–14%).”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“Codes (94 km²; 1 449 iedz.) – tuvākās 6. grupas analogas ir Siguldas/Sesavas/Rundāles pagasti (platības atšķirība 1–5%; iedz. atšķirība 7–13%).”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“Vecumnieku (281 km²; 3 818 iedz.) – tuvas 6. grupas analogas pēc iedzīvotājiem ir Mālpils/Krimuldas pagasti; lielā platība un zems blīvums pamato 6. grupas sliekšņu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Lūdzu noteikt Īslīces, Codes un Vecumnieku pagastiem 6.DEGURBA grupu.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izglītības iestādes, kuras īsteno vispārējās pamatizglītības vai vispārējās vidējās izglītības programmas klātienes formā un kuras uzskatāmas par izglītības iestādēm ar augstu pieejamības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LPS atkārtoti lūdz Iekļaut Līvānu 1. vidusskolu 2</w:t>
            </w:r>
            <w:r w:rsidR="00000000" w:rsidRPr="00000000" w:rsidDel="00000000">
              <w:rPr>
                <w:rtl w:val="0"/>
              </w:rPr>
              <w:t xml:space="preserve">. pielikumā kā “Izglītības iestādi ar augstu pieejamības risku” vai “Izglītības iestādi, kurai piemērojami kvantitatīvie radītāji ar augstu pieejamības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Līvānu vidusskola. Līvānu 1. vidusskolai (3.DEGURBA) ir noteikts nesamērīgs  skolēnu skaits vidusskolas posmā (120) atbilstoši 3. grupas kritērijiem. Novērtējot skolēnu skaitu aizvadīto 15 gadu laikā, ir redzams, ka jau kopš 2013. gada- vidusskolas posmā skolēnu skaits nekad nav sasniedzis 120 skolēnus. 2014. gadā – 96 audzēkņi, 2025./2026.mācību gadā  – 88 audzēkņi. Esošais skolēnu skaits ir samērīgs. Pat samazinot otras, Rudzātu vidusskolas, 10.-12.klašu izglītības pakāpi nav paredzams, ka skolēnu skaits Līvānu 1.vidusskolā pieaugs tādā līmenī, kas ļautu sasniegt noteikto 120 skolēnu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Identiska situācija Līvānu novada situācijai vērojama Preiļu novadā, kur abas divas vidējās izglītības iestādes (Preiļu Valsts ģimnāzija un Aglonas vidusskola) iekļautas 2.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Kvantitatīvie rādītāji izglītības iestādes klašu grupām un pieļaujamā izglītojamo skaita svārstība no noteiktā kvantitatīvā rādītāja klašu grupā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savienība ierosina noteikumu projekta 3. pielikumā veikt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3..DEGURBA  pašvaldībām vidusskolas posmā (10.-12.klases) pieļaujamo skolēnu skaitu noteikt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Viens no būtiskākajiem ilgtspējīgas atalgojuma sistēmas priekšnosacījumiem ir prognozējams skolēnu skaits, kas ļauj plānot nepieciešamo pedagogu slodzi, mācību priekšmetu piedāvājumu un finansējumu vairākiem gadiem uz priekšu</w:t>
            </w:r>
            <w:r w:rsidR="00000000" w:rsidRPr="00000000" w:rsidDel="00000000">
              <w:rPr>
                <w:rtl w:val="0"/>
              </w:rPr>
              <w:t xml:space="preserve">. Jāņem vērā, ka iedzīvotāju mobilitāte līdz ar to arī skolēnu notiek lielo pilsētu virzienā. Demogrāfijas prognozes liecina, ka iedzīvotāju skaits tai skaitā arī skolēnu skaits saruks arī novadu centros. I</w:t>
            </w:r>
            <w:r w:rsidR="00000000" w:rsidRPr="00000000" w:rsidDel="00000000">
              <w:rPr>
                <w:b w:val="1"/>
                <w:rtl w:val="0"/>
              </w:rPr>
              <w:t xml:space="preserve">r jānodrošina pietiekama un ilgtspējīga vidusskolas programmu pieejamība.</w:t>
            </w:r>
            <w:r w:rsidR="00000000" w:rsidRPr="00000000" w:rsidDel="00000000">
              <w:rPr>
                <w:b w:val="1"/>
                <w:rtl w:val="0"/>
              </w:rPr>
              <w:t xml:space="preserve"> </w:t>
            </w:r>
            <w:r w:rsidR="00000000" w:rsidRPr="00000000" w:rsidDel="00000000">
              <w:rPr>
                <w:rtl w:val="0"/>
              </w:rPr>
              <w:t xml:space="preserve">Jau šobrīd </w:t>
            </w:r>
            <w:r w:rsidR="00000000" w:rsidRPr="00000000" w:rsidDel="00000000">
              <w:rPr>
                <w:b w:val="1"/>
                <w:rtl w:val="0"/>
              </w:rPr>
              <w:t xml:space="preserve">Saldus vidusskola </w:t>
            </w:r>
            <w:r w:rsidR="00000000" w:rsidRPr="00000000" w:rsidDel="00000000">
              <w:rPr>
                <w:rtl w:val="0"/>
              </w:rPr>
              <w:t xml:space="preserve">nesasniedz noteikto skolēnu skaitu vidusskolas posmā 120, faktiskais skolēnu skaits ir 112 skolēni. Kritiska situācija ir Limbažu vidusskolai, kur faktiskais skolēnu skaits ir 122.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“5.5.2. Izglītības iestādes reorganizāciju pierādāmu iemeslu dēļ iespējams uzsākt tikai tuvāko trīs mācību gadu laikā, tajā skaitā, gadījumos, kad izglītības iestāde, kura uzņemtu reorganizētās izglītības iestādes izglītojamos, ir sasniegusi pieļaujamo mācību telpu kapacitāti, ko apliecina dibinātāja iesniegtie dokumenti (tostarp telpu noslodzes aprēķini, izglītojamo skaita dati vai citi objektīvi pierādījumi). 12.lpp.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Madlienas vidusskolu.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 termiņā Edgara Kauliņa Lielvārdes vidusskola, Ogres Valsts ģimnāzija un Ikšķiles vidusskola kopā spēj uzņemt papildus 40 – 60 skolēnus, kas šobrīd mācās Madlienas vidusskolā, bet Madlienas reģiona skolēniem šo izglītības iestāžu apmeklēšana šobrīd radītu nesamērīgi nekvalitatīvu pieredzi – ceļā pavadāmais laiks ik dienu būtu pat vairāk kā divas stundas. </w:t>
            </w:r>
            <w:r w:rsidR="00000000" w:rsidRPr="00000000" w:rsidDel="00000000">
              <w:rPr>
                <w:b w:val="1"/>
                <w:rtl w:val="0"/>
              </w:rPr>
              <w:t xml:space="preserve">Samērīgs risinājums ir dienesta viesnīcas pakalpojumu nodrošināšana Ogrē un Lielvārdē, bet šobrīd ne vienā, ne otrā pilsētā dienesta viesnīcas nav pieejamas pietiekamā skaitā un kvalitātē.</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r w:rsidR="00000000" w:rsidRPr="00000000" w:rsidDel="00000000">
              <w:rPr>
                <w:b w:val="1"/>
                <w:rtl w:val="0"/>
              </w:rPr>
              <w:t xml:space="preserve">Anotācijā papildināt 5.5.2. punktu, iekļaujot pietekamu un kvalitatīvu dienesta viesnīcas nodrošinājumu kā vienu no faktoriem pārejas perioda noteikšanai izglītības iestādes vidējās izglītības posma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Lai izvērtētu 5.4.1.-5.4.3. punktos minēto kritēriju izvērtējumu ir jābūt normatīvajam regulējumam, kas nosaka Izglītības pārvaldes tiesības veikt privāto skolu apmeklējumus un viņu darba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Publiski pašvaldībai ir pieejami skolu akreditācijas ziņojumi un pašnovērtējumu ziņojumi, kā arī CE rezultāti (ja ir attiecināmi). </w:t>
            </w:r>
            <w:r w:rsidR="00000000" w:rsidRPr="00000000" w:rsidDel="00000000">
              <w:rPr>
                <w:b w:val="1"/>
                <w:rtl w:val="0"/>
              </w:rPr>
              <w:t xml:space="preserve">Izglītības likuma 18.pants nosaka Pašvaldības izglītības pārvaldes iestādes pienākumus un nenosaka iepriekš minēto uzdevumu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objektīvu izvērtējumu, Pārvaldei no privātajām skolām būtu jāpieprasa jauni dati, kuri nav pieejami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Privāto izglītības iestāžu lomas izvērtēšanai un vienotas izpratnes nodrošināšanai par piederību pašvaldības izglītības ekosistēmai, vienlaikus saglabājot pašvaldības autonomiju konkrētu lēmumu pieņemšanā, </w:t>
            </w:r>
            <w:r w:rsidR="00000000" w:rsidRPr="00000000" w:rsidDel="00000000">
              <w:rPr>
                <w:b w:val="1"/>
                <w:rtl w:val="0"/>
              </w:rPr>
              <w:t xml:space="preserve">pašvaldībā būs nepieciešams piesaistīt jaunus cilvēkresursus.</w:t>
            </w:r>
            <w:r w:rsidR="00000000" w:rsidRPr="00000000" w:rsidDel="00000000">
              <w:rPr>
                <w:rtl w:val="0"/>
              </w:rPr>
              <w:t xml:space="preserve"> Rīgā ir vairāk kā 40 privātās izglītības iestādes. Bez šīm prasībām pašvaldībai nāks klāt arī citi jauni Izglītības likumā noteiktie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ka privātās izglītības iestādes iekļaušana pašvaldības ekosistēmā vai izslēgšana no ekosistēmas ir darbība publisko tiesību jomā un paredz konkrētu tiesību piešķiršana vai noņemšana privātpersonai administratīvā procesa ietvaros.</w:t>
            </w:r>
            <w:r w:rsidR="00000000" w:rsidRPr="00000000" w:rsidDel="00000000">
              <w:rPr>
                <w:b w:val="1"/>
                <w:rtl w:val="0"/>
              </w:rPr>
              <w:t xml:space="preserve">Valsts pārvaldes iestādes ir tiesīgas uzlikt privātpersonām pienākumus tikai tad, ja tas ir paredzēts ārējā normatīvajā aktā. Līdz ar to, pašvaldībām ir jāizdod saistošie noteikumi, kas paredz labvēlīgu vai nelabvēlīgu administratīvo aktu izdošanu saistībā ar privātās izglītības iestādes iekļaušanu pašvaldības ekosistēmā.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Pašvaldībai ir arī jāsaprot, vai ar pašvaldības izdotajiem saistošajiem noteikumiem būs jānosaka savi kritēriji privātās izglītības iestādes iekļaušanai pašvaldības izglītības ekosistēmā, izvēloties kritērijus no MK noteikumos norādītajiem . Anotācija šo procedūru nepaskaidro.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Kā paredzēta privātās izglītības iestādes izvērtēšana nākamajos periodos?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26-TA-193</w:t>
    </w:r>
    <w:r>
      <w:br/>
    </w:r>
    <w:r w:rsidR="00000000" w:rsidRPr="00000000" w:rsidDel="00000000">
      <w:rPr>
        <w:rtl w:val="0"/>
      </w:rPr>
      <w:t xml:space="preserve">Izdrukāts 17.03.2026. 18.56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26-TA-193</w:t>
    </w:r>
    <w:r>
      <w:br/>
    </w:r>
    <w:r w:rsidR="00000000" w:rsidRPr="00000000" w:rsidDel="00000000">
      <w:rPr>
        <w:rtl w:val="0"/>
      </w:rPr>
      <w:t xml:space="preserve">Izdrukāts 17.03.2026. 18.56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Atzinumi_26-TA-193.docx</dc:title>
</cp:coreProperties>
</file>

<file path=docProps/custom.xml><?xml version="1.0" encoding="utf-8"?>
<Properties xmlns="http://schemas.openxmlformats.org/officeDocument/2006/custom-properties" xmlns:vt="http://schemas.openxmlformats.org/officeDocument/2006/docPropsVTypes"/>
</file>