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(Latvijas Vēstnesis, 2023, 225.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w:t>
            </w:r>
            <w:r w:rsidR="00000000" w:rsidRPr="00000000" w:rsidDel="00000000">
              <w:rPr>
                <w:b w:val="1"/>
                <w:rtl w:val="0"/>
              </w:rPr>
              <w:t xml:space="preserve">j</w:t>
            </w:r>
            <w:r w:rsidR="00000000" w:rsidRPr="00000000" w:rsidDel="00000000">
              <w:rPr>
                <w:rtl w:val="0"/>
              </w:rPr>
              <w:t xml:space="preserve">ā proporcija starp 12.2.1. punktā minēto rādītāju “atbalstīto komersantu skaits – 190” un 12.2.3. punktā minēto rādītāju “komersantu skaits, kas sadarbojas ar pētniecības organizācijām – 38” ir 20%. Vēlamies uzsvērt, ka minētie rādītāji un to savstarpējā proporcija ir pretrunā ar Nacionālās industriālās politikas pamatnostādnēs 2021.-2027.gadam definētajiem uzdevumiem (piem.  veicināt sadarbību starp privāto un publisko sektoru inovācijas jomā) un sasniedzamajiem rezultātiem (piem. līdz 2027.gadam “Inovatīvu uzņēmumu skaits (% no kopējā uzņēmumu skaita) – 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LUA ierosinājums ir palielināt 12.2.3. rādītāju līdz 50, tādējādi veicinot augstāk minēto uzdevumu un sasniedzamo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"12.2.3 komersantu skaits, kas sadarbojas ar pētniecības organizācijām, –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22.01.2024.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22.01.2024.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Atzinumi_23-TA-2977.docx</dc:title>
</cp:coreProperties>
</file>

<file path=docProps/custom.xml><?xml version="1.0" encoding="utf-8"?>
<Properties xmlns="http://schemas.openxmlformats.org/officeDocument/2006/custom-properties" xmlns:vt="http://schemas.openxmlformats.org/officeDocument/2006/docPropsVTypes"/>
</file>