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6.punktā  "Detalizēts ieņēmumu un izdevumu aprēķins” norādītās pēdējās divas rindkopas par prioritārajam pasākumam piešķirto finansējumu pārcelt uz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