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24.5.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vienoto izmaksu likmi piecu procentu apmērā no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minētajām tiešajām attiecināmajām izmaksām, kas neietver šo noteikumu </w:t>
            </w:r>
            <w:r w:rsidR="00000000" w:rsidRPr="00000000" w:rsidDel="00000000">
              <w:rPr>
                <w:rtl w:val="0"/>
              </w:rPr>
              <w:t xml:space="preserve">25.7. </w:t>
            </w:r>
            <w:r w:rsidR="00000000" w:rsidRPr="00000000" w:rsidDel="00000000">
              <w:rPr>
                <w:rtl w:val="0"/>
              </w:rPr>
              <w:t xml:space="preserve">apakšpunktā</w:t>
            </w:r>
            <w:r w:rsidR="00000000" w:rsidRPr="00000000" w:rsidDel="00000000">
              <w:rPr>
                <w:rtl w:val="0"/>
              </w:rPr>
              <w:t xml:space="preserve"> minētās tiešās attiecināmās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vai izmaksas ir skaidri nodalāmas un nepastāv izmaksu un funkciju pārklāšanās ar likmē iekļaujamām izmaksām un izmaksām, kas tiks attiecinātas kā faktiskās par citām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Neparedzētie izdevumi nepārsniedz piecus procentus no projekta kopējām tiešajām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iekļaut informāciju attiecībā uz neparedzētajiem izdevumiem- attiecīgi skaidri sniedzot pamatojumu, kāpēc konkrētajā pasākumā nosaka procentuālo neparedzēto izdevumu tieši tādā apmērā. Lai arī izziņā ir norādīts, ka minētais Finanšu ministrijas komentārs ir ņemts vērā, tomēr vēršam uzmanību, ka anotācija nav atbilstoši papildināta ar pamatojumu neparedzēto izmaksu ierobežojuma sliekšņa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būvdarbu iepirkums vai noslēgts būvdarbu līgums), var piešķirt finansējuma saņēmējam avansu pēc civiltiesiskā līguma vai vienošanās par projekta īstenošanu noslēgšanas, ievērojot, ka avansa un starpposma maksājumu kopsumma nepārsniedz 90 procentus no projektam piešķirtā ERAF finansējuma un pašvaldības līdzfinansējuma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43.punktu, nosakot, ka avanss jāizlieto sešu mēnešu laikā saimnieciskā gada ietvaros, nodrošinot atbildīgu finanšu plānošanu, lai nerastos situācijas, kad neizlietots avanss uz nākamā gada sākumu rada negatīvu ietekmi uz valsts kopbudžeta deficītu. Vēršam uzmanību, ka garāks avansu apgūšanas termiņš kopumā būtiski neveicinās naudas plūsmas intensificēšanu, un var radīt risku n+3 mērķu izpildei. Ātrāku naudas plūsmu varētu nodrošināt, paredzot avansa izmaksāšanu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43.punktu papildināt ar maksimālo avansa apmēru, kas precizētajā MK noteikumu projekta redakcijā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būvdarbu iepirkums vai noslēgts būvdarbu līgums), var piešķirt finansējuma saņēmējam avansu pēc civiltiesiskā līguma vai vienošanās par projekta īstenošanu noslēgšanas, ievērojot, ka avansa un starpposma maksājumu kopsumma nepārsniedz 90 procentus no projektam piešķirtā ERAF finansējuma un pašvaldības līdzfinansējuma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budžeta līdzekļu plānošanas kārtībai Eiropas Savienības fondu projektu īstenošanai un maksājumu veikšanai 2021.-2027.gada plānošanas periodā, veicot avansa un starpposma maksājumus, ievēro nosacījumu, ka to kopsumma nedrīkst pārsniegt 90% no projektam piešķirtā Eiropas Savienības fonda finansējuma un, ja tas paredzēts projektā, valsts budžeta līdzfinansējuma kopsummas. Aicinām precizēt vai skaidrot, kāpēc paredzēts kopummas apjoms ietverot pašvaldības budžeta līdzfinansējumu, nevis valsts budžeta līdzfinansējuma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14.punktā noteikto, izstrādājot sākotnējās ietekmes novērtējumu (anotāciju), ir jāizvērtē arī normatīvā akta ietekme uz tautsaimniecību. Attiecīgi lūdzam papildināt anotāciju ar informāciju par normatīvā akta ietekmi uz tautsaimniecību, norādot pēc iespējas izmērāmus rādītājus, kā arī novērtējot konkrētus aspektus par plānoto ieguldījumu sagaidāmo ietekmi un efektivitāti, t.sk. faktiski sagaidāmos rezultātus pēc investīciju īstenošanas.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"Atbalstāmās darbības un izmaksas" attiecīgo daļu ar šādiem vienkāršoto izmaksu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Apraksts, ka likmes aprēķins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Taisnīgs – vienkāršoto izmaksu aprēķiniem jābalstās uz datiem/ normatīvajiem aktiem un izmaksas nevar paredzēt pārmērīgi augstas vai zemas.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Objektīvs – vienkāršoto izmaksu aprēķiniem jāpauž vienāda attieksme pret jebkuru FS vai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Pārbaudāms – vienkāršoto izmaksu aprēķiniem jābūt dokumentāli pierādāmiem un pārbaudāmiem.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noteikts – likmes piemērošanas nosacījumi ir iepriekš noteikti un ieinteresētajām personām 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norādīt likmes aprēķinam un tā pamatošanai izmantotos normatīvos aktus un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Lūgums norādīt Izmaksu un/ vai Ministru kabineta noteikumu par SAM īstenošanu punktu uzskaitījumu no kuriem rēķināms vienotās personāla likmes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42.punktā izteikto iebildumu, ņemot vērā, ka tas nav ņemts vērā pēc būtības. Attiecīgi atkārtoti lūdzam anotācijā norādīt, kādi dati finansējuma saņēmējam ir jāuzkrāj un jāiesniedz sadarbības iestādei par horizontālajiem principiem "Klimatnodrošināšana", "Energoefektivitāte pirmajā vietā un "Nenodarīt būtisku kaitējumu", lai gan finansējuma saņēmējam, gan sadarbības iestādei būtu skaidrs par uzkrājamajiem datiem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vai finansējuma saņēmējam būs pienākums uzkrāt datus arī par fiziskām personām, ņemot vērā, ka noteikumu projekts paredz, ka finansējuma saņēmējs uzkrāj datus par projekta ietekmi uz horizontālo principu rādītājiem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Ministru kabineta noteikumu Nr.301 "Noteikumi par azbesta un azbesta izstrādājumu ražošanas radīto vides piesārņojumu un azbesta atkritumu apsaimniekošanu" datumu (2011.gada 19.aprīļa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noformēt atsauci uz  Eiropas Parlamenta un Padomes 2021.gada 24.jūnija  Regulu 2021/1060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21.31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21.31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