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24-TA-2847: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Elektronisko veselības datu sekundārās izmantošanas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Uzticamais elektronisko veselības datu turētājs – elektronisko veselības datu turētājs, kuru  Centrs ir novērtējis kā atbilstošu, lai nodrošinātu elektronisko veselības datu pieejamību elektronisko veselības datu lietotājam vienkāršotās procedūras ietvaros, tai skaitā deleģējot piekļuves iestādes funkcijas atbilstoši šim 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atšifrēt Centrs pirmajā sastapšanas reizē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kopu katalogs – publiski pieejams sistemātiski sakārtots elektronisko veselības datu kopu aprakstu kopums;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ka pētniecībai domātie dati tiek uzglabāti saskaņā ar FAIR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Uzticamais elektronisko veselības datu turētājs – elektronisko veselības datu turētājs, kuru  vadošā elektronisko veselības datu piekļuves iestāde  ir novērtējusi kā atbilstošu, lai nodrošinātu elektronisko veselības datu pieejamību elektronisko veselības datu lietotājam vienkāršotās procedūras ietvaros atbilstoši šim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 1) punkta redakcija. Aicinājums dzēst šo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Šajā likumā noteiktie  elektronisko veselības datu turētāju pienākumi neattiecas uz individuāliem pētniekiem,fiziskām personām, mikrouzņēmumiem un mazkapitāla sabiedrībām ar ierobežotu atbildību.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interpretāciju, aicinām izvērtēt, vai korektāks nebūtu formulējums, kurā tiek norādīti tie, uz kuriem </w:t>
            </w:r>
            <w:r w:rsidR="00000000" w:rsidRPr="00000000" w:rsidDel="00000000">
              <w:rPr>
                <w:b w:val="1"/>
                <w:u w:val="single"/>
                <w:rtl w:val="0"/>
              </w:rPr>
              <w:t xml:space="preserve">attiecas</w:t>
            </w:r>
            <w:r w:rsidR="00000000" w:rsidRPr="00000000" w:rsidDel="00000000">
              <w:rPr>
                <w:b w:val="1"/>
                <w:i w:val="1"/>
                <w:rtl w:val="0"/>
              </w:rPr>
              <w:t xml:space="preserve"> </w:t>
            </w:r>
            <w:r w:rsidR="00000000" w:rsidRPr="00000000" w:rsidDel="00000000">
              <w:rPr>
                <w:rtl w:val="0"/>
              </w:rPr>
              <w:t xml:space="preserve">šie pienākumi.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iekļautais regulējums par personas elektroniskajiem veselības datiem attiecas arī uz elektroniskajiem ģenētiskajiem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 tas ietekmē Cilvēka genoma izpētes likumu. Piemēram, ģenētiskos datu anonimizācija un pseidonimizācija ir ļoti specifiska un bieži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saņemot informāciju no elektronisko veselības datu lietotāja par konstatētu atradi, kas varētu negatīvi ietekmēt kādas fiziskas personas veselību vai dzīvību, par to informē elektronisko veselības datu turētāju.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vērtēt atbilstību CSP kompetencei, jo pēc būtības šī ir ārstnieciska darbība - nav skaidrs, kas konstatē atradi.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elektronisko veselības datu pieprasītāja plānotais apstrādes nolūks atbilst kādam no šā panta pirmās daļas 1., 2., vai 3. punktā minētajiem nolūkiem, piekļuvi elektroniskajiem veselības datiem piešķir valsts institūcijām un trešajām personām, kuras veic valsts institūciju uzdotos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punkta formulējumu, pielīdzinot to pārējiem. Papildus aicinām izvērtēt, vai šajā gadījumā ir korekta punktā sniegt uz pašu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vai mācību pasākumiem veselības nozarē profesionālās vai augstākās izglītības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domāts ar līmeni? Vienkāršāk būtu - profesionālajā un augstākajā izglītībā. Vienlaikus vēršam uzmanību uz to, ka medicīniskā izglītība saskaņā ar Ārstniecības likumu ir primāro veselības datu izmantošanas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Aizliegts apstrādāt elektroniskos veselības datus, kas iegūti, pamatojoties uz elektronisko veselības datu sekundārās izmantošanas atļauju vai  elektronisko veselības datu pieprasījuma apstiprinājumu, šādos nolūkos: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 šos punktus iespējams ievērot mākslīgā intelekta trenēšanas gadījumā. Nav iespējams aizliegt MI algoritmam vērtēt kādu fizisku personu grupu zemāk, ja tas izriet no trenēšanai pieejamajiem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veiktu reklāmas vai mārketinga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datu izmantotāji būs t.sk. pētniecības grupas, kuras ir saņēmušas starptautisko finansējumu. Savukārt starptautiskā finansējuma viens no nosacījumiem ir projektu rezultātu popularizēšana. Līdz ar to aicinām precizēt šī punkta formulējumu, piemēram, papildinot, ka reklāma vai mārketinga darbības ir aizliegtas komerciāliem nolūkiem.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Elektronisko veselības datu turētāja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šeit ir domāti primāro veselības datu turētāji? Lūdzu, to skaidrot anotācijā. Pretējā gadījumā šie pienākumi izplatās arī uz sekundāro datu turētājiem, piem., zinātniskajām  institūcijām. Tas jebkurā gadījumā nebūs budžeta neitrāli.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veselības datu turētājs neveic elektronisko veselības datu apstrādi, kuru sekundāro apstrādi aizliegusi fiziskā persona, izņemot Pacientu tiesību likumā noteiktos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ļoti neskaidrs. Kas notiek, ja datu kopa ir sagatavota un tad pacients aizliedz izmantošanu? Vai dati, kuri ir selektīvi modificēti, tiek kaut kā marķēti? Tas būtu jāapraksta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medicīnisko ierīču ģenerētos elektroniskos veselības datus .medicīnisko ierīču ģenerētos elektroniskos veselības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Abas teikumu daļas atkārtojas.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datus no labjūtes lietojumprogrammām;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programmas bieži ir pacienta īpašums. Vai šo var prasīt?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pilnvaroto personu identitāti (vārdu, uzvārdu un personas kodu (identifikatoru)), jo īpaši galvenā pētnieka identitāti, kuram būs tiesības piekļūt elektroniskajiem veselības datiem elektronisko veselības datu drošā apstrādes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vairāk tiek lietots jēdziens "vadošais pētnieks".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Baltina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24-TA-2847</w:t>
    </w:r>
    <w:r>
      <w:br/>
    </w:r>
    <w:r w:rsidR="00000000" w:rsidRPr="00000000" w:rsidDel="00000000">
      <w:rPr>
        <w:rtl w:val="0"/>
      </w:rPr>
      <w:t xml:space="preserve">Izdrukāts 15.05.2025.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24-TA-2847</w:t>
    </w:r>
    <w:r>
      <w:br/>
    </w:r>
    <w:r w:rsidR="00000000" w:rsidRPr="00000000" w:rsidDel="00000000">
      <w:rPr>
        <w:rtl w:val="0"/>
      </w:rPr>
      <w:t xml:space="preserve">Izdrukāts 15.05.2025.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Atzinumi_24-TA-2847.docx</dc:title>
</cp:coreProperties>
</file>

<file path=docProps/custom.xml><?xml version="1.0" encoding="utf-8"?>
<Properties xmlns="http://schemas.openxmlformats.org/officeDocument/2006/custom-properties" xmlns:vt="http://schemas.openxmlformats.org/officeDocument/2006/docPropsVTypes"/>
</file>