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izsaka iebildumu par 7.8. apakšpunktu jauno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vēršam uzmanību, VARAM konceptuāli neatbalsta šobrīd EM kompetencē esošās funkcijas pārdalīšanu citai ministrijai par operatīvo transportlīdzekļa statusu piešķiršanu ūdens apgādes un kanalizācijas tīklu dienestiem. Jāatzīmē, ka funkcija piešķirt šādu statusu nav arī noteikta Klimata un enerģētikas ministrijas (turpmāk – KEM)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sabiedrība ar ierobežotu atbildību "Rīgas ūdens" nav ne VARAM, ne KEM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anotāciju ar pamatojumu par nepieciešamību sabiedrībai ar ierobežotu atbildību "Rīgas ūdens" piešķiršanu operatīvā transportlīdzekļa statusu un tā izmantošanu, ņemot vērā, ka esošajā noteikumu redakcijā noteikts, ka šādu statusu piešķir ekonomikas ministrs.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siltumtīklu, vai pasažieru sabiedriskā elektrotransporta avārijas dienesti;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19.06.2024.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19.06.2024.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