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26-TA-1361: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Lauksaimniecības un lauku attīstības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likumprojekta nepieciešamību, vienlaikus aicinām papildināt likumprojekta anotācijas 5.3. apakšsadaļu, norādot arī konkrētu leģitīmo mērķi (vai mērķus) likumprojektā paredzētajam aizliegumam attiecībā uz pārtikas produktu ievešanu un importu (no anotācijas 1.3. apakšsadaļas izriet, ka tas varētu būt tostarp valsts drošība) un skaidrojot likumprojektā paredzētā ierobežojuma (aizlieguma) atbilstību samērīguma principam. Skaidrojam, lai ierobežojošo pasākumu atzītu par samērīgu: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 pasākuma piemērošanas pamats ir sasniegt kādu no Līguma par Eiropas Savienības darbību 36. pantā nosauktajiem leģitīmajiem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šis pasākums ir piemērots šā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šis pasākums ir nepieciešams šā mērķa sasniegšanai, proti, šo mērķi nav iespējams sasniegt, izmantojot citu līdzekli, kas preču brīvu apriti ierobežotu mazākā 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ierobežojošais pasākums neaizskar preču brīvas aprites būtību jeb kodolu (sk. arī </w:t>
            </w:r>
            <w:r w:rsidR="00000000" w:rsidRPr="00000000" w:rsidDel="00000000">
              <w:rPr>
                <w:i w:val="1"/>
                <w:rtl w:val="0"/>
              </w:rPr>
              <w:t xml:space="preserve">Eiropas Savienības tiesības. II daļa. Materiālās tiesības. Schewe C. (zin. red.). Rīga: Tiesu namu aģentūra, 2016, 234. un 235.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aicinām papildināt anotācijas 1.3. apakšsadaļu, skaidrojot likumprojektā ietvertā regulējuma atbilstību tiesiskās paļāvības principam, ņemot vērā, ka likumprojekts varētu ietekmēt jau pirms likumprojekta (likuma) spēkā stāšanās (arī pieņemšanas) noslēgtu pārtikas produktu piegādes un pirkuma līgumu izpildi. Skaidrojam, lai izvērtētu, vai tiesību akts atbilst tiesiskās paļāvības principam, jānoskaidro: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personai ir radusies tiesiskā paļāvība uz konkrētu tiesību saglabāšanu vai īstenošanu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ir ievērots saprātīgs līdzsvars starp personas tiesiskās paļāvības aizsardzību un sabiedrības interešu nodrošināšanu (sk., piem., </w:t>
            </w:r>
            <w:r w:rsidR="00000000" w:rsidRPr="00000000" w:rsidDel="00000000">
              <w:rPr>
                <w:i w:val="1"/>
                <w:rtl w:val="0"/>
              </w:rPr>
              <w:t xml:space="preserve">Satversmes tiesas 2013. gada 12. jūnija sprieduma lietā Nr. 2012-21-01 10.1. punktu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26-TA-1361</w:t>
    </w:r>
    <w:r>
      <w:br/>
    </w:r>
    <w:r w:rsidR="00000000" w:rsidRPr="00000000" w:rsidDel="00000000">
      <w:rPr>
        <w:rtl w:val="0"/>
      </w:rPr>
      <w:t xml:space="preserve">Izdrukāts 09.07.2026. 10.17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26-TA-1361</w:t>
    </w:r>
    <w:r>
      <w:br/>
    </w:r>
    <w:r w:rsidR="00000000" w:rsidRPr="00000000" w:rsidDel="00000000">
      <w:rPr>
        <w:rtl w:val="0"/>
      </w:rPr>
      <w:t xml:space="preserve">Izdrukāts 09.07.2026. 10.17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Atzinumi_26-TA-1361.docx</dc:title>
</cp:coreProperties>
</file>

<file path=docProps/custom.xml><?xml version="1.0" encoding="utf-8"?>
<Properties xmlns="http://schemas.openxmlformats.org/officeDocument/2006/custom-properties" xmlns:vt="http://schemas.openxmlformats.org/officeDocument/2006/docPropsVTypes"/>
</file>