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 aprīļa noteikumos Nr. 215 "Radioiekārtu atbilstības novērtēšanas, piedāvāšanas tirgū, uzstādīšanas, lietošanas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kas paredzētas valsts aizsardzības vajadzībām un tiek lietotas tikai nacionālajā radiofrekvenču plānā noteiktajās radiofrekvenču joslās, kuras iedalītas lietošanai tikai valsts aizsardzībai, ir attiecināmas un piemērojamas šo noteikumu </w:t>
            </w:r>
            <w:r w:rsidR="00000000" w:rsidRPr="00000000" w:rsidDel="00000000">
              <w:rPr>
                <w:rtl w:val="0"/>
              </w:rPr>
              <w:t xml:space="preserve">121.1.</w:t>
            </w:r>
            <w:r w:rsidR="00000000" w:rsidRPr="00000000" w:rsidDel="00000000">
              <w:rPr>
                <w:rtl w:val="0"/>
              </w:rPr>
              <w:t xml:space="preserve">, </w:t>
            </w:r>
            <w:r w:rsidR="00000000" w:rsidRPr="00000000" w:rsidDel="00000000">
              <w:rPr>
                <w:rtl w:val="0"/>
              </w:rPr>
              <w:t xml:space="preserve">121.2.</w:t>
            </w:r>
            <w:r w:rsidR="00000000" w:rsidRPr="00000000" w:rsidDel="00000000">
              <w:rPr>
                <w:rtl w:val="0"/>
              </w:rPr>
              <w:t xml:space="preserve">, </w:t>
            </w:r>
            <w:r w:rsidR="00000000" w:rsidRPr="00000000" w:rsidDel="00000000">
              <w:rPr>
                <w:rtl w:val="0"/>
              </w:rPr>
              <w:t xml:space="preserve">121.3.</w:t>
            </w:r>
            <w:r w:rsidR="00000000" w:rsidRPr="00000000" w:rsidDel="00000000">
              <w:rPr>
                <w:rtl w:val="0"/>
              </w:rPr>
              <w:t xml:space="preserve">, </w:t>
            </w:r>
            <w:r w:rsidR="00000000" w:rsidRPr="00000000" w:rsidDel="00000000">
              <w:rPr>
                <w:rtl w:val="0"/>
              </w:rPr>
              <w:t xml:space="preserve">121.4.</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6.3. </w:t>
            </w:r>
            <w:r w:rsidR="00000000" w:rsidRPr="00000000" w:rsidDel="00000000">
              <w:rPr>
                <w:rtl w:val="0"/>
              </w:rPr>
              <w:t xml:space="preserve">apakšnodaļā</w:t>
            </w:r>
            <w:r w:rsidR="00000000" w:rsidRPr="00000000" w:rsidDel="00000000">
              <w:rPr>
                <w:rtl w:val="0"/>
              </w:rPr>
              <w:t xml:space="preserve">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projekta "Grozījumi Ministru kabineta 2024. gada 2. aprīļa noteikumos Nr. 215 "Radioiekārtu atbilstības novērtēšanas, piedāvāšanas tirgū, uzstādīšanas, lietošanas un uzraudzības noteikumi"" (turpmāk – projekts) sākotnējās ietekmes novērtējuma ziņojumu (turpmāk – anotācija) ar pamatojumu tam, ka projekta 3. punktā ietvertajā Ministru kabineta 2024. gada 2. aprīļa noteikumu Nr. 215 "Radioiekārtu atbilstības novērtēšanas, piedāvāšanas tirgū, uzstādīšanas, lietošanas un uzraudzības noteikumi" (turpmāk – Noteikumi) 4.1. apakšpunktā svītrota atsauce uz Noteikumu 121.1.10. apakšpunktu, ņemot vērā to, ka anotācijas 1.3. apakšsadaļā ir norādīts, ka Noteikumu 4.1. apakšpunktā tiek veikts redakcionāls grozījums, taču atsauces uz Noteikumu 121.1.10. apakšpunktu svītrošana ir grozījums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5.14. mobilo sakaru galiekārtu lokalizācijas sistēma - radioiekārta, ko izmanto cilvēku meklēšanas vai glābšanas operācijās un kura imitē mobilo sakaru tīkla bāzes stacijas darbību, lai noteiktu mobilā tīkla galiekārtu atrašanās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 punktu, ņemot vērā to, ka tajā ietvertais Noteikumu 5.14. apakšpunkts dublē Ministru kabineta 2025. gada 12. augusta noteikumu Nr. 488 "Noteikumi par Valsts robežsardzē izmantojamo tehnisko līdzekļu veidiem un šo tehnisko līdzekļu izmantošanu, kā arī tehnisko līdzekļu izmantošanas rezultātā iegūto datu apstrādi" 3.1.3. apakšpunktā ietverto termina "mobilo sakaru galiekārtu lokalizācijas sistēmas"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3.</w:t>
            </w:r>
            <w:r w:rsidR="00000000" w:rsidRPr="00000000" w:rsidDel="00000000">
              <w:rPr>
                <w:rtl w:val="0"/>
              </w:rPr>
              <w:t xml:space="preserve"> un </w:t>
            </w:r>
            <w:r w:rsidR="00000000" w:rsidRPr="00000000" w:rsidDel="00000000">
              <w:rPr>
                <w:rtl w:val="0"/>
              </w:rPr>
              <w:t xml:space="preserve">4. </w:t>
            </w:r>
            <w:r w:rsidR="00000000" w:rsidRPr="00000000" w:rsidDel="00000000">
              <w:rPr>
                <w:rtl w:val="0"/>
              </w:rPr>
              <w:t xml:space="preserve">nodaļa</w:t>
            </w:r>
            <w:r w:rsidR="00000000" w:rsidRPr="00000000" w:rsidDel="00000000">
              <w:rPr>
                <w:rtl w:val="0"/>
              </w:rPr>
              <w:t xml:space="preserve">, </w:t>
            </w:r>
            <w:r w:rsidR="00000000" w:rsidRPr="00000000" w:rsidDel="00000000">
              <w:rPr>
                <w:rtl w:val="0"/>
              </w:rPr>
              <w:t xml:space="preserve">121.1.1.</w:t>
            </w:r>
            <w:r w:rsidR="00000000" w:rsidRPr="00000000" w:rsidDel="00000000">
              <w:rPr>
                <w:rtl w:val="0"/>
              </w:rPr>
              <w:t xml:space="preserve">, </w:t>
            </w:r>
            <w:r w:rsidR="00000000" w:rsidRPr="00000000" w:rsidDel="00000000">
              <w:rPr>
                <w:rtl w:val="0"/>
              </w:rPr>
              <w:t xml:space="preserve">121.1.2.</w:t>
            </w:r>
            <w:r w:rsidR="00000000" w:rsidRPr="00000000" w:rsidDel="00000000">
              <w:rPr>
                <w:rtl w:val="0"/>
              </w:rPr>
              <w:t xml:space="preserve">, </w:t>
            </w:r>
            <w:r w:rsidR="00000000" w:rsidRPr="00000000" w:rsidDel="00000000">
              <w:rPr>
                <w:rtl w:val="0"/>
              </w:rPr>
              <w:t xml:space="preserve">121.1.5.</w:t>
            </w:r>
            <w:r w:rsidR="00000000" w:rsidRPr="00000000" w:rsidDel="00000000">
              <w:rPr>
                <w:rtl w:val="0"/>
              </w:rPr>
              <w:t xml:space="preserve">, </w:t>
            </w:r>
            <w:r w:rsidR="00000000" w:rsidRPr="00000000" w:rsidDel="00000000">
              <w:rPr>
                <w:rtl w:val="0"/>
              </w:rPr>
              <w:t xml:space="preserve">121.1.6.</w:t>
            </w:r>
            <w:r w:rsidR="00000000" w:rsidRPr="00000000" w:rsidDel="00000000">
              <w:rPr>
                <w:rtl w:val="0"/>
              </w:rPr>
              <w:t xml:space="preserve">, </w:t>
            </w:r>
            <w:r w:rsidR="00000000" w:rsidRPr="00000000" w:rsidDel="00000000">
              <w:rPr>
                <w:rtl w:val="0"/>
              </w:rPr>
              <w:t xml:space="preserve">121.1.7.</w:t>
            </w:r>
            <w:r w:rsidR="00000000" w:rsidRPr="00000000" w:rsidDel="00000000">
              <w:rPr>
                <w:rtl w:val="0"/>
              </w:rPr>
              <w:t xml:space="preserve">, </w:t>
            </w:r>
            <w:r w:rsidR="00000000" w:rsidRPr="00000000" w:rsidDel="00000000">
              <w:rPr>
                <w:rtl w:val="0"/>
              </w:rPr>
              <w:t xml:space="preserve">121.1.8.</w:t>
            </w:r>
            <w:r w:rsidR="00000000" w:rsidRPr="00000000" w:rsidDel="00000000">
              <w:rPr>
                <w:rtl w:val="0"/>
              </w:rPr>
              <w:t xml:space="preserve">, </w:t>
            </w:r>
            <w:r w:rsidR="00000000" w:rsidRPr="00000000" w:rsidDel="00000000">
              <w:rPr>
                <w:rtl w:val="0"/>
              </w:rPr>
              <w:t xml:space="preserve">121.1.10. </w:t>
            </w:r>
            <w:r w:rsidR="00000000" w:rsidRPr="00000000" w:rsidDel="00000000">
              <w:rPr>
                <w:rtl w:val="0"/>
              </w:rPr>
              <w:t xml:space="preserve">apakšpunkts</w:t>
            </w:r>
            <w:r w:rsidR="00000000" w:rsidRPr="00000000" w:rsidDel="00000000">
              <w:rPr>
                <w:rtl w:val="0"/>
              </w:rPr>
              <w:t xml:space="preserve"> un </w:t>
            </w:r>
            <w:r w:rsidR="00000000" w:rsidRPr="00000000" w:rsidDel="00000000">
              <w:rPr>
                <w:rtl w:val="0"/>
              </w:rPr>
              <w:t xml:space="preserve">130. </w:t>
            </w:r>
            <w:r w:rsidR="00000000" w:rsidRPr="00000000" w:rsidDel="00000000">
              <w:rPr>
                <w:rtl w:val="0"/>
              </w:rPr>
              <w:t xml:space="preserve">punkts</w:t>
            </w:r>
            <w:r w:rsidR="00000000" w:rsidRPr="00000000" w:rsidDel="00000000">
              <w:rPr>
                <w:rtl w:val="0"/>
              </w:rPr>
              <w:t xml:space="preserve"> neattiecas uz mobilo sakaru galiekārtu lokalizācijas sistēmām, kuras paredzētas Valsts robežsardzes darbības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punktā ietvertais Noteikumu 8.</w:t>
            </w:r>
            <w:r w:rsidR="00000000" w:rsidRPr="00000000" w:rsidDel="00000000">
              <w:rPr>
                <w:vertAlign w:val="superscript"/>
                <w:rtl w:val="0"/>
              </w:rPr>
              <w:t xml:space="preserve">1</w:t>
            </w:r>
            <w:r w:rsidR="00000000" w:rsidRPr="00000000" w:rsidDel="00000000">
              <w:rPr>
                <w:rtl w:val="0"/>
              </w:rPr>
              <w:t xml:space="preserve"> punkts paredz, kādas Noteikumu normas neattiecas uz mobilo sakaru galiekārtu lokalizācijas sistēmām, kuras paredzētas Valsts robežsardzes darbības nodrošināšanai. No Noteikumos ietvertā regulējuma izriet, ka Noteikumu mērķis ir nodrošināt, ka radioiekārtas nekaitē cilvēku veselībai un videi, tāpēc arī radioiekārtām, kas minētas projekta 6. punktā ietvertajā Noteikumu 8.</w:t>
            </w:r>
            <w:r w:rsidR="00000000" w:rsidRPr="00000000" w:rsidDel="00000000">
              <w:rPr>
                <w:vertAlign w:val="superscript"/>
                <w:rtl w:val="0"/>
              </w:rPr>
              <w:t xml:space="preserve">1</w:t>
            </w:r>
            <w:r w:rsidR="00000000" w:rsidRPr="00000000" w:rsidDel="00000000">
              <w:rPr>
                <w:rtl w:val="0"/>
              </w:rPr>
              <w:t xml:space="preserve"> punktā, ir jābūt nekaitīgām cilvēku veselībai un videi. Ņemot vērā minēto, lūdzam papildināt anotāciju ar informāciju, kā tiks nodrošināts, ka šīs radioiekārtas nerada kaitējumu cilvēku veselībai un videi, vai kurā normatīvajā aktā ir noteiktas prasības, kurām jāatbilst šīm radioiekārtām.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17.09.2025.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25-TA-1364</w:t>
    </w:r>
    <w:r>
      <w:br/>
    </w:r>
    <w:r w:rsidR="00000000" w:rsidRPr="00000000" w:rsidDel="00000000">
      <w:rPr>
        <w:rtl w:val="0"/>
      </w:rPr>
      <w:t xml:space="preserve">Izdrukāts 17.09.2025.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Atzinumi_25-TA-1364.docx</dc:title>
</cp:coreProperties>
</file>

<file path=docProps/custom.xml><?xml version="1.0" encoding="utf-8"?>
<Properties xmlns="http://schemas.openxmlformats.org/officeDocument/2006/custom-properties" xmlns:vt="http://schemas.openxmlformats.org/officeDocument/2006/docPropsVTypes"/>
</file>