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 rezultātu vērsta budžeta veidošanas un attīstības virzieniem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28.02.2025.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28.02.2025.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