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lieguma "Mežole"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Šajos noteikumos minētos ierobežojumus nepiemēro, ja tas ir nepieciešams ugunsdzēsības pasākumu īstenošanai un bīstamo koku (koku, kas apdraud cilvēku dzīvību un veselību, tuvumā esošos infrastruktūras objektus un dabiskās brauktuves) ciršanai un novākšanu;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projekta 11.punkta redakciju, ievērojot līdzšinējo praksi Ministru kabineta noteikumos par dabas liegumu individuālo aizsardzības un izmantošanas kārtību (skatīt, piemēram, Ministru kabineta 2024.gada 20.augusta noteikumu Nr. 559 "Dabas lieguma "Augstroze" individuālie aizsardzības un izmantošanas noteikumi" 10.punktu).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pārvietoties (arī apstāties un stāvēt) ar mehāniskajiem transportlīdzekļiem, tai skaitā automašīnām, traktortehniku, motocikliem, tricikliem, kvadricikliem, mopēdiem un sniega motocikliem, pajūgiem un zirgiem ārpus ceļiem un dabiskām brauktuvēm, izņemot neitrālo zonu un gadījumu, ja pārvietošanās (arī apstāšanās un stāvēšana) ir saistīta ar teritorijas apsaimniekošanu, uzraudzību, valsts aizsardzības uzdevumu veikšanu, ugunsdrošības pasākumiem vai glābšanas un meklēšanas darbiem, un ar Dabas aizsardzības pārvaldes rakstisku atļauju zinātnisko pētījumu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projekta 12.4.apakšpunkta redakciju, papildinot to aiz vārdiem "valsts aizsardzības uzdevumu veikšanu" ar vārdiem "sabiedriskās kārtības un drošības nodrošināšanu", tādējādi ievērojot arī līdzšinējo praksi Ministru kabineta noteikumos par dabas liegumu individuālo aizsardzības un izmantošanas kārtību (skatīt, piemēram, Ministru kabineta 2024.gada 20.augusta noteikumu Nr. 559 "Dabas lieguma "Augstroze" individuālie aizsardzības un izmantošanas noteikumi" 11.11.apakšpunktu).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10.12.2024.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10.12.2024.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Atzinumi_23-TA-2264.docx</dc:title>
</cp:coreProperties>
</file>

<file path=docProps/custom.xml><?xml version="1.0" encoding="utf-8"?>
<Properties xmlns="http://schemas.openxmlformats.org/officeDocument/2006/custom-properties" xmlns:vt="http://schemas.openxmlformats.org/officeDocument/2006/docPropsVTypes"/>
</file>