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skaidroto, ka uzlādes infrastruktūra ir atbalstāma tad, ja tā ir nepieciešama komersanta vajadzībām savas saimnieciskās darbības nodrošināšanai, piemēram, darba transportlīdzekļu uzlādei, ražotnē izmantojamo transportlīdzekļu uzlādei, u.tml., lūdzam anotācijā konkrētāk paskaidrot, kas ir saprotams ar darba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punktā minētajam nepārsniedz 85 procentus un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interpretāciju, lūdzam anotāciju papildināt ar skaidrojumu, ka tikai tādos gadījumos, kad pašvaldība kā projekta iesniedzējs pati nav komercdarbības atbalsta saņēmējs (šajā gadījumā ar Eiropas Komisijas 2014. gada 17. jūnija Regulas (ES) Nr. 651/2014 , ar ko noteiktas atbalsta kategorijas atzīst par saderīgām ar iekšējo tirgu, piemērojot Līguma 107. un 108. pantu (turpmāk - Komisijas regula Nr.651/2014) 56.pantu), trešās atlases kārtas ietvaros var īstenot projektu, kas atbilst Latvijas valsts drošības un aizsardzības interesēm saistībā ar ieroču, munīcijas un militārā aprīkojuma ražošanu vai tirdzniecību un kas nav kvalificējams kā komercdarbības atbalsts komersantam - projekta sadarbības partnerim -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Eiropas Reģionālās attīstības fonda finansējums,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militārās jomas sadarbības partnerim atbalsts tiek piešķirts no ERAF, ir nepieciešams ievērot ERAF regulas 2021/1058 7.panta d) apkašpunktā noteikto, ka atbasts netiek piešķirts grūtībās nonākušiem uzņēmumiem (kā izņēmums noteikts tikai de minimis un pagaidu valsts atbalsta noteikumu regulējums). Līdz ar to lūdzam MKN grozījumos iekļaut nosacījumu, ka arī militārās jomas sadarbības partneriem pirms atbalsta pieškiršanas nepieciešams pārbaudīt grūtībās nonākuša uzņēmuma pazīmes atbilstoši Komisijas regulas 651/2014 2.panta18.punkta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Eiropas Reģionālās attīstības fonda finansējums,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36.punktā, kurā izteikts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MK noteikumi Nr.55) 48.</w:t>
            </w:r>
            <w:r w:rsidR="00000000" w:rsidRPr="00000000" w:rsidDel="00000000">
              <w:rPr>
                <w:vertAlign w:val="superscript"/>
                <w:rtl w:val="0"/>
              </w:rPr>
              <w:t xml:space="preserve">1</w:t>
            </w:r>
            <w:r w:rsidR="00000000" w:rsidRPr="00000000" w:rsidDel="00000000">
              <w:rPr>
                <w:rtl w:val="0"/>
              </w:rPr>
              <w:t xml:space="preserve">punkts, vārdus "sadarbības partnerim" ar vārdiem "finansējuma saņēmējam". Vēršam uzmanību, ka atbilstoši Eiropas Savienības fondus regulējošiem normatīviem aktiem Eiropas Savienības finansējums, tai skaitā  Eiropas Reģionālās attīstības fonda finansējums, tiek piešķirt finansējuma saņēmējam nevis sadarbības partnerim. Analoģisku precizējumu lūdzam veikt arī noteikumu projekta 38.punktā, kurā izteikts MK noteikumu Nr.55 48.</w:t>
            </w:r>
            <w:r w:rsidR="00000000" w:rsidRPr="00000000" w:rsidDel="00000000">
              <w:rPr>
                <w:vertAlign w:val="superscript"/>
                <w:rtl w:val="0"/>
              </w:rPr>
              <w:t xml:space="preserve">3</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no finansējuma saņēmēja – publiskas personas – nomātā ēkā, ja turējuma tiesības ir iegūtas uz termiņu, kas nav īsāks par vismaz pieciem gadiem lielajam komersantam un vismaz trim gadiem mazajam un vidējam komersantam no dienas, kad veikts projekta noslēguma maksājums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48.</w:t>
            </w:r>
            <w:r w:rsidR="00000000" w:rsidRPr="00000000" w:rsidDel="00000000">
              <w:rPr>
                <w:vertAlign w:val="superscript"/>
                <w:rtl w:val="0"/>
              </w:rPr>
              <w:t xml:space="preserve">1</w:t>
            </w:r>
            <w:r w:rsidR="00000000" w:rsidRPr="00000000" w:rsidDel="00000000">
              <w:rPr>
                <w:rtl w:val="0"/>
              </w:rPr>
              <w:t xml:space="preserve"> minētajā gadījumā projekta ietvaros attīstītajā uzņēmējdarbības objektā visā tā ieguldījumu amortizācijas periodā (vismaz 10-15 gadi) ir jāsaglabā sākotnējais infrastruktūras darbības lietošanas mērķis, lūdzam anotācijā skaidrot, kāda būs rīcība nomātās ēkas turējuma tiesību beigās, ja nomātā ēkā turējuma tiesības ir iegūtas uz termiņu, kas īsāks par ieguldījumu amortizācijas periodu. Ja nepieciešams, lūdzam precizēt arī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65.punktu arī ar atsauci uz noteikumu projekta 48.</w:t>
            </w:r>
            <w:r w:rsidR="00000000" w:rsidRPr="00000000" w:rsidDel="00000000">
              <w:rPr>
                <w:vertAlign w:val="superscript"/>
                <w:rtl w:val="0"/>
              </w:rPr>
              <w:t xml:space="preserve">1</w:t>
            </w:r>
            <w:r w:rsidR="00000000" w:rsidRPr="00000000" w:rsidDel="00000000">
              <w:rPr>
                <w:rtl w:val="0"/>
              </w:rPr>
              <w:t xml:space="preserve"> punktu, lai nodrošinātu, ka sadarbības iestāde veic projekta uzraudzību projekta dzīves ciklā (ieguldījumu amortizācijas periodā) arī projektam vienīgi militārajā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